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E7D7D" w14:textId="77777777" w:rsidR="004A59CB" w:rsidRDefault="004A59CB" w:rsidP="002C23AE">
      <w:pPr>
        <w:widowControl w:val="0"/>
        <w:autoSpaceDE w:val="0"/>
        <w:autoSpaceDN w:val="0"/>
        <w:adjustRightInd w:val="0"/>
        <w:spacing w:line="360" w:lineRule="auto"/>
        <w:jc w:val="center"/>
        <w:outlineLvl w:val="0"/>
        <w:rPr>
          <w:rFonts w:ascii="Arial" w:hAnsi="Arial" w:cs="Arial"/>
          <w:b/>
          <w:sz w:val="32"/>
          <w:lang w:val="es-PE"/>
        </w:rPr>
      </w:pPr>
    </w:p>
    <w:p w14:paraId="7E512057" w14:textId="77777777" w:rsidR="004A59CB" w:rsidRDefault="004A59CB" w:rsidP="002C23AE">
      <w:pPr>
        <w:widowControl w:val="0"/>
        <w:autoSpaceDE w:val="0"/>
        <w:autoSpaceDN w:val="0"/>
        <w:adjustRightInd w:val="0"/>
        <w:spacing w:line="360" w:lineRule="auto"/>
        <w:jc w:val="center"/>
        <w:outlineLvl w:val="0"/>
        <w:rPr>
          <w:rFonts w:ascii="Arial" w:hAnsi="Arial" w:cs="Arial"/>
          <w:b/>
          <w:sz w:val="32"/>
          <w:lang w:val="es-PE"/>
        </w:rPr>
      </w:pPr>
    </w:p>
    <w:p w14:paraId="1EE5D70E" w14:textId="77777777" w:rsidR="002C23AE" w:rsidRPr="00DB0CE4" w:rsidRDefault="002C23AE" w:rsidP="002C23AE">
      <w:pPr>
        <w:widowControl w:val="0"/>
        <w:autoSpaceDE w:val="0"/>
        <w:autoSpaceDN w:val="0"/>
        <w:adjustRightInd w:val="0"/>
        <w:spacing w:line="360" w:lineRule="auto"/>
        <w:jc w:val="center"/>
        <w:outlineLvl w:val="0"/>
        <w:rPr>
          <w:rFonts w:ascii="Arial" w:hAnsi="Arial" w:cs="Arial"/>
          <w:b/>
          <w:sz w:val="32"/>
          <w:lang w:val="es-PE"/>
        </w:rPr>
      </w:pPr>
      <w:r w:rsidRPr="00DB0CE4">
        <w:rPr>
          <w:rFonts w:ascii="Arial" w:hAnsi="Arial" w:cs="Arial"/>
          <w:b/>
          <w:sz w:val="32"/>
          <w:lang w:val="es-PE"/>
        </w:rPr>
        <w:t>PROTOCOLO DE INVESTIGACION</w:t>
      </w:r>
    </w:p>
    <w:p w14:paraId="727807C7" w14:textId="77777777" w:rsidR="002C23AE" w:rsidRDefault="002C23AE" w:rsidP="002C23AE">
      <w:pPr>
        <w:widowControl w:val="0"/>
        <w:autoSpaceDE w:val="0"/>
        <w:autoSpaceDN w:val="0"/>
        <w:adjustRightInd w:val="0"/>
        <w:spacing w:line="360" w:lineRule="auto"/>
        <w:rPr>
          <w:rFonts w:ascii="Arial" w:hAnsi="Arial" w:cs="Arial"/>
          <w:lang w:val="es-PE"/>
        </w:rPr>
      </w:pPr>
    </w:p>
    <w:p w14:paraId="01CF5961" w14:textId="77777777" w:rsidR="002A1358" w:rsidRDefault="002A1358" w:rsidP="002C23AE">
      <w:pPr>
        <w:widowControl w:val="0"/>
        <w:autoSpaceDE w:val="0"/>
        <w:autoSpaceDN w:val="0"/>
        <w:adjustRightInd w:val="0"/>
        <w:spacing w:line="360" w:lineRule="auto"/>
        <w:rPr>
          <w:rFonts w:ascii="Arial" w:hAnsi="Arial" w:cs="Arial"/>
          <w:lang w:val="es-PE"/>
        </w:rPr>
      </w:pPr>
    </w:p>
    <w:p w14:paraId="0AA489ED" w14:textId="77777777" w:rsidR="002A1358" w:rsidRPr="00DB0CE4" w:rsidRDefault="002A1358" w:rsidP="002C23AE">
      <w:pPr>
        <w:widowControl w:val="0"/>
        <w:autoSpaceDE w:val="0"/>
        <w:autoSpaceDN w:val="0"/>
        <w:adjustRightInd w:val="0"/>
        <w:spacing w:line="360" w:lineRule="auto"/>
        <w:rPr>
          <w:rFonts w:ascii="Arial" w:hAnsi="Arial" w:cs="Arial"/>
          <w:lang w:val="es-PE"/>
        </w:rPr>
      </w:pPr>
    </w:p>
    <w:p w14:paraId="654BF89A" w14:textId="77777777" w:rsidR="002C23AE" w:rsidRPr="00DB0CE4" w:rsidRDefault="002C23AE" w:rsidP="002C23AE">
      <w:pPr>
        <w:widowControl w:val="0"/>
        <w:tabs>
          <w:tab w:val="left" w:pos="5659"/>
        </w:tabs>
        <w:autoSpaceDE w:val="0"/>
        <w:autoSpaceDN w:val="0"/>
        <w:adjustRightInd w:val="0"/>
        <w:spacing w:line="360" w:lineRule="auto"/>
        <w:rPr>
          <w:rFonts w:ascii="Arial" w:hAnsi="Arial" w:cs="Arial"/>
          <w:lang w:val="es-PE"/>
        </w:rPr>
      </w:pPr>
      <w:r w:rsidRPr="00DB0CE4">
        <w:rPr>
          <w:rFonts w:ascii="Arial" w:hAnsi="Arial" w:cs="Arial"/>
          <w:lang w:val="es-PE"/>
        </w:rPr>
        <w:tab/>
      </w:r>
    </w:p>
    <w:p w14:paraId="2E8D22EC" w14:textId="28717C85" w:rsidR="002C23AE" w:rsidRDefault="002C23AE" w:rsidP="002C23AE">
      <w:pPr>
        <w:spacing w:line="360" w:lineRule="auto"/>
        <w:jc w:val="center"/>
        <w:rPr>
          <w:rFonts w:ascii="Arial" w:hAnsi="Arial" w:cs="Arial"/>
          <w:b/>
        </w:rPr>
      </w:pPr>
      <w:r w:rsidRPr="00DB0CE4">
        <w:rPr>
          <w:rFonts w:ascii="Arial" w:hAnsi="Arial" w:cs="Arial"/>
          <w:b/>
        </w:rPr>
        <w:t>CARACTERIZACIÓN EPIDEMIOLÓGICA</w:t>
      </w:r>
      <w:r w:rsidR="00876211">
        <w:rPr>
          <w:rFonts w:ascii="Arial" w:hAnsi="Arial" w:cs="Arial"/>
          <w:b/>
        </w:rPr>
        <w:t xml:space="preserve"> Y CLINICA</w:t>
      </w:r>
      <w:r w:rsidRPr="00DB0CE4">
        <w:rPr>
          <w:rFonts w:ascii="Arial" w:hAnsi="Arial" w:cs="Arial"/>
          <w:b/>
        </w:rPr>
        <w:t xml:space="preserve"> DE LA LEUCEMIA</w:t>
      </w:r>
      <w:r w:rsidR="00DB0CE4">
        <w:rPr>
          <w:rFonts w:ascii="Arial" w:hAnsi="Arial" w:cs="Arial"/>
          <w:b/>
        </w:rPr>
        <w:t xml:space="preserve"> /</w:t>
      </w:r>
      <w:r w:rsidRPr="00DB0CE4">
        <w:rPr>
          <w:rFonts w:ascii="Arial" w:hAnsi="Arial" w:cs="Arial"/>
          <w:b/>
        </w:rPr>
        <w:t xml:space="preserve"> LINFOMA DE CÉLULAS T DEL ADULTO </w:t>
      </w:r>
      <w:r w:rsidR="00DB0CE4">
        <w:rPr>
          <w:rFonts w:ascii="Arial" w:hAnsi="Arial" w:cs="Arial"/>
          <w:b/>
        </w:rPr>
        <w:t xml:space="preserve">– </w:t>
      </w:r>
      <w:r w:rsidR="00876211">
        <w:rPr>
          <w:rFonts w:ascii="Arial" w:hAnsi="Arial" w:cs="Arial"/>
          <w:b/>
        </w:rPr>
        <w:t>GRUPO DE ESTUDIO</w:t>
      </w:r>
      <w:r w:rsidR="00DB0CE4">
        <w:rPr>
          <w:rFonts w:ascii="Arial" w:hAnsi="Arial" w:cs="Arial"/>
          <w:b/>
        </w:rPr>
        <w:t xml:space="preserve"> LATINOAMERICANO </w:t>
      </w:r>
      <w:r w:rsidR="00876211">
        <w:rPr>
          <w:rFonts w:ascii="Arial" w:hAnsi="Arial" w:cs="Arial"/>
          <w:b/>
        </w:rPr>
        <w:t>EN</w:t>
      </w:r>
      <w:r w:rsidR="00DB0CE4">
        <w:rPr>
          <w:rFonts w:ascii="Arial" w:hAnsi="Arial" w:cs="Arial"/>
          <w:b/>
        </w:rPr>
        <w:t xml:space="preserve"> LINFOPROLIFERATIVOS (GELL)</w:t>
      </w:r>
    </w:p>
    <w:p w14:paraId="7781935E" w14:textId="77777777" w:rsidR="00DB0CE4" w:rsidRDefault="00DB0CE4" w:rsidP="002C23AE">
      <w:pPr>
        <w:spacing w:line="360" w:lineRule="auto"/>
        <w:jc w:val="center"/>
        <w:rPr>
          <w:rFonts w:ascii="Arial" w:hAnsi="Arial" w:cs="Arial"/>
          <w:b/>
        </w:rPr>
      </w:pPr>
    </w:p>
    <w:p w14:paraId="40FF82F8" w14:textId="77777777" w:rsidR="00DB0CE4" w:rsidRDefault="00DB0CE4" w:rsidP="002C23AE">
      <w:pPr>
        <w:spacing w:line="360" w:lineRule="auto"/>
        <w:jc w:val="center"/>
        <w:rPr>
          <w:rFonts w:ascii="Arial" w:hAnsi="Arial" w:cs="Arial"/>
          <w:b/>
        </w:rPr>
      </w:pPr>
    </w:p>
    <w:p w14:paraId="099B90F7" w14:textId="77777777" w:rsidR="004A59CB" w:rsidRDefault="004A59CB" w:rsidP="002C23AE">
      <w:pPr>
        <w:spacing w:line="360" w:lineRule="auto"/>
        <w:jc w:val="center"/>
        <w:rPr>
          <w:rFonts w:ascii="Arial" w:hAnsi="Arial" w:cs="Arial"/>
          <w:b/>
        </w:rPr>
      </w:pPr>
    </w:p>
    <w:p w14:paraId="25504DD2" w14:textId="77777777" w:rsidR="00DB0CE4" w:rsidRDefault="00DB0CE4" w:rsidP="002C23AE">
      <w:pPr>
        <w:spacing w:line="360" w:lineRule="auto"/>
        <w:jc w:val="center"/>
        <w:rPr>
          <w:rFonts w:ascii="Arial" w:hAnsi="Arial" w:cs="Arial"/>
          <w:b/>
        </w:rPr>
      </w:pPr>
    </w:p>
    <w:p w14:paraId="1155657C" w14:textId="3FFA4A88" w:rsidR="00DB0CE4" w:rsidRPr="00740674" w:rsidRDefault="00DB0CE4" w:rsidP="00740674">
      <w:pPr>
        <w:widowControl w:val="0"/>
        <w:autoSpaceDE w:val="0"/>
        <w:autoSpaceDN w:val="0"/>
        <w:adjustRightInd w:val="0"/>
        <w:spacing w:line="360" w:lineRule="auto"/>
        <w:jc w:val="center"/>
        <w:outlineLvl w:val="0"/>
        <w:rPr>
          <w:rFonts w:ascii="Arial" w:hAnsi="Arial" w:cs="Arial"/>
          <w:b/>
          <w:bCs/>
          <w:iCs/>
          <w:lang w:val="es-PE"/>
        </w:rPr>
      </w:pPr>
      <w:r>
        <w:rPr>
          <w:rFonts w:ascii="Arial" w:hAnsi="Arial" w:cs="Arial"/>
          <w:b/>
          <w:bCs/>
          <w:iCs/>
          <w:lang w:val="es-PE"/>
        </w:rPr>
        <w:t>INVESTIGADORES</w:t>
      </w:r>
      <w:r w:rsidRPr="00200862">
        <w:rPr>
          <w:rFonts w:ascii="Arial" w:hAnsi="Arial" w:cs="Arial"/>
          <w:b/>
          <w:bCs/>
          <w:iCs/>
          <w:lang w:val="es-PE"/>
        </w:rPr>
        <w:t>:</w:t>
      </w:r>
      <w:r w:rsidR="004951E1">
        <w:rPr>
          <w:rFonts w:ascii="Arial" w:hAnsi="Arial" w:cs="Arial"/>
          <w:b/>
          <w:bCs/>
          <w:iCs/>
          <w:lang w:val="es-PE"/>
        </w:rPr>
        <w:t xml:space="preserve"> </w:t>
      </w:r>
      <w:r w:rsidRPr="004951E1">
        <w:rPr>
          <w:rFonts w:ascii="Arial" w:hAnsi="Arial" w:cs="Arial"/>
          <w:b/>
          <w:bCs/>
          <w:iCs/>
          <w:lang w:val="es-PE"/>
        </w:rPr>
        <w:t>Denisse Castro</w:t>
      </w:r>
      <w:r w:rsidR="00740674">
        <w:rPr>
          <w:rFonts w:ascii="Arial" w:hAnsi="Arial" w:cs="Arial"/>
          <w:b/>
          <w:bCs/>
          <w:iCs/>
          <w:lang w:val="es-PE"/>
        </w:rPr>
        <w:t xml:space="preserve"> Uriol</w:t>
      </w:r>
      <w:r w:rsidRPr="004951E1">
        <w:rPr>
          <w:rFonts w:ascii="Arial" w:hAnsi="Arial" w:cs="Arial"/>
          <w:b/>
          <w:bCs/>
          <w:iCs/>
          <w:lang w:val="es-PE"/>
        </w:rPr>
        <w:t xml:space="preserve"> </w:t>
      </w:r>
      <w:r w:rsidR="00740674">
        <w:rPr>
          <w:rFonts w:ascii="Arial" w:hAnsi="Arial" w:cs="Arial"/>
          <w:b/>
          <w:bCs/>
          <w:iCs/>
          <w:lang w:val="es-PE"/>
        </w:rPr>
        <w:t>(</w:t>
      </w:r>
      <w:r w:rsidR="002A1358" w:rsidRPr="004951E1">
        <w:rPr>
          <w:rFonts w:ascii="Arial" w:hAnsi="Arial" w:cs="Arial"/>
          <w:b/>
          <w:bCs/>
          <w:iCs/>
          <w:lang w:val="es-PE"/>
        </w:rPr>
        <w:t>Perú</w:t>
      </w:r>
      <w:r w:rsidR="00740674">
        <w:rPr>
          <w:rFonts w:ascii="Arial" w:hAnsi="Arial" w:cs="Arial"/>
          <w:b/>
          <w:bCs/>
          <w:iCs/>
          <w:lang w:val="es-PE"/>
        </w:rPr>
        <w:t xml:space="preserve">), </w:t>
      </w:r>
      <w:r w:rsidRPr="00740674">
        <w:rPr>
          <w:rFonts w:ascii="Arial" w:hAnsi="Arial" w:cs="Arial"/>
          <w:b/>
          <w:bCs/>
          <w:iCs/>
          <w:lang w:val="es-PE"/>
        </w:rPr>
        <w:t>Henry Idrobo</w:t>
      </w:r>
      <w:r w:rsidR="002A1358" w:rsidRPr="00740674">
        <w:rPr>
          <w:rFonts w:ascii="Arial" w:hAnsi="Arial" w:cs="Arial"/>
          <w:b/>
          <w:bCs/>
          <w:iCs/>
          <w:lang w:val="es-PE"/>
        </w:rPr>
        <w:t xml:space="preserve"> </w:t>
      </w:r>
      <w:r w:rsidR="00740674">
        <w:rPr>
          <w:rFonts w:ascii="Arial" w:hAnsi="Arial" w:cs="Arial"/>
          <w:b/>
          <w:bCs/>
          <w:iCs/>
          <w:lang w:val="es-PE"/>
        </w:rPr>
        <w:t>(</w:t>
      </w:r>
      <w:r w:rsidR="002A1358" w:rsidRPr="00740674">
        <w:rPr>
          <w:rFonts w:ascii="Arial" w:hAnsi="Arial" w:cs="Arial"/>
          <w:b/>
          <w:bCs/>
          <w:iCs/>
          <w:lang w:val="es-PE"/>
        </w:rPr>
        <w:t>Colombia)</w:t>
      </w:r>
      <w:r w:rsidR="00740674">
        <w:rPr>
          <w:rFonts w:ascii="Arial" w:hAnsi="Arial" w:cs="Arial"/>
          <w:b/>
          <w:bCs/>
          <w:iCs/>
          <w:lang w:val="es-PE"/>
        </w:rPr>
        <w:t xml:space="preserve">, </w:t>
      </w:r>
      <w:r w:rsidRPr="00740674">
        <w:rPr>
          <w:rFonts w:ascii="Arial" w:hAnsi="Arial" w:cs="Arial"/>
          <w:b/>
          <w:bCs/>
          <w:iCs/>
          <w:lang w:val="es-PE"/>
        </w:rPr>
        <w:t>Camila Peña</w:t>
      </w:r>
      <w:r w:rsidR="00740674">
        <w:rPr>
          <w:rFonts w:ascii="Arial" w:hAnsi="Arial" w:cs="Arial"/>
          <w:b/>
          <w:bCs/>
          <w:iCs/>
          <w:lang w:val="es-PE"/>
        </w:rPr>
        <w:t xml:space="preserve">  (Chile),</w:t>
      </w:r>
      <w:r w:rsidRPr="00740674">
        <w:rPr>
          <w:rFonts w:ascii="Arial" w:hAnsi="Arial" w:cs="Arial"/>
          <w:b/>
          <w:bCs/>
          <w:iCs/>
          <w:lang w:val="es-PE"/>
        </w:rPr>
        <w:t xml:space="preserve"> Luis Malpica</w:t>
      </w:r>
      <w:r w:rsidR="00740674">
        <w:rPr>
          <w:rFonts w:ascii="Arial" w:hAnsi="Arial" w:cs="Arial"/>
          <w:b/>
          <w:bCs/>
          <w:iCs/>
          <w:lang w:val="es-PE"/>
        </w:rPr>
        <w:t xml:space="preserve"> Castillo </w:t>
      </w:r>
      <w:r w:rsidR="00AF2657" w:rsidRPr="00740674">
        <w:rPr>
          <w:rFonts w:ascii="Arial" w:hAnsi="Arial" w:cs="Arial"/>
          <w:b/>
          <w:bCs/>
          <w:iCs/>
          <w:lang w:val="es-PE"/>
        </w:rPr>
        <w:t>( EE.UU</w:t>
      </w:r>
      <w:r w:rsidR="002A1358" w:rsidRPr="00740674">
        <w:rPr>
          <w:rFonts w:ascii="Arial" w:hAnsi="Arial" w:cs="Arial"/>
          <w:b/>
          <w:bCs/>
          <w:iCs/>
          <w:lang w:val="es-PE"/>
        </w:rPr>
        <w:t>)</w:t>
      </w:r>
    </w:p>
    <w:p w14:paraId="1422F674" w14:textId="77777777" w:rsidR="00DB0CE4" w:rsidRDefault="00DB0CE4" w:rsidP="00AF2657">
      <w:pPr>
        <w:widowControl w:val="0"/>
        <w:autoSpaceDE w:val="0"/>
        <w:autoSpaceDN w:val="0"/>
        <w:adjustRightInd w:val="0"/>
        <w:spacing w:line="360" w:lineRule="auto"/>
        <w:outlineLvl w:val="0"/>
        <w:rPr>
          <w:rFonts w:ascii="Arial" w:hAnsi="Arial" w:cs="Arial"/>
          <w:b/>
          <w:bCs/>
          <w:iCs/>
          <w:lang w:val="es-PE"/>
        </w:rPr>
      </w:pPr>
    </w:p>
    <w:p w14:paraId="1C5580A8" w14:textId="77777777" w:rsidR="00DB0CE4" w:rsidRDefault="00DB0CE4" w:rsidP="00DB0CE4">
      <w:pPr>
        <w:widowControl w:val="0"/>
        <w:autoSpaceDE w:val="0"/>
        <w:autoSpaceDN w:val="0"/>
        <w:adjustRightInd w:val="0"/>
        <w:spacing w:line="360" w:lineRule="auto"/>
        <w:jc w:val="center"/>
        <w:outlineLvl w:val="0"/>
        <w:rPr>
          <w:rFonts w:ascii="Arial" w:hAnsi="Arial" w:cs="Arial"/>
          <w:b/>
          <w:bCs/>
          <w:iCs/>
          <w:lang w:val="es-PE"/>
        </w:rPr>
      </w:pPr>
    </w:p>
    <w:p w14:paraId="09529415" w14:textId="77777777" w:rsidR="004A59CB" w:rsidRDefault="004A59CB" w:rsidP="00DB0CE4">
      <w:pPr>
        <w:widowControl w:val="0"/>
        <w:autoSpaceDE w:val="0"/>
        <w:autoSpaceDN w:val="0"/>
        <w:adjustRightInd w:val="0"/>
        <w:spacing w:line="360" w:lineRule="auto"/>
        <w:jc w:val="center"/>
        <w:outlineLvl w:val="0"/>
        <w:rPr>
          <w:rFonts w:ascii="Arial" w:hAnsi="Arial" w:cs="Arial"/>
          <w:b/>
          <w:bCs/>
          <w:iCs/>
          <w:lang w:val="es-PE"/>
        </w:rPr>
      </w:pPr>
    </w:p>
    <w:p w14:paraId="4007A173" w14:textId="77777777" w:rsidR="004A59CB" w:rsidRDefault="004A59CB" w:rsidP="00DB0CE4">
      <w:pPr>
        <w:widowControl w:val="0"/>
        <w:autoSpaceDE w:val="0"/>
        <w:autoSpaceDN w:val="0"/>
        <w:adjustRightInd w:val="0"/>
        <w:spacing w:line="360" w:lineRule="auto"/>
        <w:jc w:val="center"/>
        <w:outlineLvl w:val="0"/>
        <w:rPr>
          <w:rFonts w:ascii="Arial" w:hAnsi="Arial" w:cs="Arial"/>
          <w:b/>
          <w:bCs/>
          <w:iCs/>
          <w:lang w:val="es-PE"/>
        </w:rPr>
      </w:pPr>
    </w:p>
    <w:p w14:paraId="7FC99EFA" w14:textId="77777777" w:rsidR="004A59CB" w:rsidRDefault="004A59CB" w:rsidP="00DB0CE4">
      <w:pPr>
        <w:widowControl w:val="0"/>
        <w:autoSpaceDE w:val="0"/>
        <w:autoSpaceDN w:val="0"/>
        <w:adjustRightInd w:val="0"/>
        <w:spacing w:line="360" w:lineRule="auto"/>
        <w:jc w:val="center"/>
        <w:outlineLvl w:val="0"/>
        <w:rPr>
          <w:rFonts w:ascii="Arial" w:hAnsi="Arial" w:cs="Arial"/>
          <w:b/>
          <w:bCs/>
          <w:iCs/>
          <w:lang w:val="es-PE"/>
        </w:rPr>
      </w:pPr>
    </w:p>
    <w:p w14:paraId="74E4D3BB" w14:textId="77777777" w:rsidR="004A59CB" w:rsidRPr="00200862" w:rsidRDefault="004A59CB" w:rsidP="00DB0CE4">
      <w:pPr>
        <w:widowControl w:val="0"/>
        <w:autoSpaceDE w:val="0"/>
        <w:autoSpaceDN w:val="0"/>
        <w:adjustRightInd w:val="0"/>
        <w:spacing w:line="360" w:lineRule="auto"/>
        <w:jc w:val="center"/>
        <w:outlineLvl w:val="0"/>
        <w:rPr>
          <w:rFonts w:ascii="Arial" w:hAnsi="Arial" w:cs="Arial"/>
          <w:b/>
          <w:bCs/>
          <w:iCs/>
          <w:lang w:val="es-PE"/>
        </w:rPr>
      </w:pPr>
    </w:p>
    <w:p w14:paraId="17356F92" w14:textId="7CFD7115" w:rsidR="00DB0CE4" w:rsidRPr="00717582" w:rsidRDefault="00DB0CE4" w:rsidP="00DB0CE4">
      <w:pPr>
        <w:widowControl w:val="0"/>
        <w:autoSpaceDE w:val="0"/>
        <w:autoSpaceDN w:val="0"/>
        <w:adjustRightInd w:val="0"/>
        <w:spacing w:line="360" w:lineRule="auto"/>
        <w:jc w:val="center"/>
        <w:rPr>
          <w:rFonts w:ascii="Arial" w:hAnsi="Arial" w:cs="Arial"/>
          <w:b/>
          <w:bCs/>
          <w:iCs/>
          <w:lang w:val="es-PE"/>
        </w:rPr>
      </w:pPr>
      <w:r w:rsidRPr="00717582">
        <w:rPr>
          <w:rFonts w:ascii="Arial" w:hAnsi="Arial" w:cs="Arial"/>
          <w:b/>
          <w:bCs/>
          <w:iCs/>
          <w:lang w:val="es-PE"/>
        </w:rPr>
        <w:t>Abril</w:t>
      </w:r>
      <w:r w:rsidR="00740674" w:rsidRPr="00717582">
        <w:rPr>
          <w:rFonts w:ascii="Arial" w:hAnsi="Arial" w:cs="Arial"/>
          <w:b/>
          <w:bCs/>
          <w:iCs/>
          <w:lang w:val="es-PE"/>
        </w:rPr>
        <w:t>,</w:t>
      </w:r>
      <w:r w:rsidRPr="00717582">
        <w:rPr>
          <w:rFonts w:ascii="Arial" w:hAnsi="Arial" w:cs="Arial"/>
          <w:b/>
          <w:bCs/>
          <w:iCs/>
          <w:lang w:val="es-PE"/>
        </w:rPr>
        <w:t xml:space="preserve">  2020</w:t>
      </w:r>
      <w:r w:rsidR="00740674" w:rsidRPr="00717582">
        <w:rPr>
          <w:rFonts w:ascii="Arial" w:hAnsi="Arial" w:cs="Arial"/>
          <w:b/>
          <w:bCs/>
          <w:iCs/>
          <w:lang w:val="es-PE"/>
        </w:rPr>
        <w:t xml:space="preserve"> V1</w:t>
      </w:r>
    </w:p>
    <w:p w14:paraId="7805F2E7" w14:textId="77777777" w:rsidR="00DB0CE4" w:rsidRPr="00717582" w:rsidRDefault="00DB0CE4" w:rsidP="00DB0CE4">
      <w:pPr>
        <w:widowControl w:val="0"/>
        <w:autoSpaceDE w:val="0"/>
        <w:autoSpaceDN w:val="0"/>
        <w:adjustRightInd w:val="0"/>
        <w:spacing w:line="360" w:lineRule="auto"/>
        <w:jc w:val="center"/>
        <w:outlineLvl w:val="0"/>
        <w:rPr>
          <w:rFonts w:ascii="Arial" w:hAnsi="Arial" w:cs="Arial"/>
          <w:b/>
          <w:bCs/>
          <w:iCs/>
          <w:lang w:val="es-PE"/>
        </w:rPr>
      </w:pPr>
    </w:p>
    <w:p w14:paraId="174470F8" w14:textId="77777777" w:rsidR="00DB0CE4" w:rsidRPr="00717582" w:rsidRDefault="00DB0CE4" w:rsidP="002C23AE">
      <w:pPr>
        <w:spacing w:line="360" w:lineRule="auto"/>
        <w:jc w:val="center"/>
        <w:rPr>
          <w:rFonts w:ascii="Arial" w:hAnsi="Arial" w:cs="Arial"/>
          <w:b/>
          <w:lang w:val="es-PE"/>
        </w:rPr>
      </w:pPr>
    </w:p>
    <w:p w14:paraId="37AEA70C" w14:textId="77777777" w:rsidR="00C17EAB" w:rsidRPr="00717582" w:rsidRDefault="00C17EAB"/>
    <w:p w14:paraId="424B3FBE" w14:textId="77777777" w:rsidR="00B97A6B" w:rsidRPr="00717582" w:rsidRDefault="00B97A6B"/>
    <w:p w14:paraId="5BD92155" w14:textId="77777777" w:rsidR="00B97A6B" w:rsidRPr="00717582" w:rsidRDefault="00B97A6B"/>
    <w:p w14:paraId="000A0B31" w14:textId="77777777" w:rsidR="00740674" w:rsidRPr="00717582" w:rsidRDefault="00740674"/>
    <w:p w14:paraId="1C5C0ABB" w14:textId="77777777" w:rsidR="00740674" w:rsidRPr="00717582" w:rsidRDefault="00740674"/>
    <w:p w14:paraId="121456B2" w14:textId="77777777" w:rsidR="00740674" w:rsidRPr="00717582" w:rsidRDefault="00740674"/>
    <w:p w14:paraId="314E929A" w14:textId="77777777" w:rsidR="00740674" w:rsidRPr="00717582" w:rsidRDefault="00740674"/>
    <w:p w14:paraId="2E5AF0AB" w14:textId="77777777" w:rsidR="00740674" w:rsidRPr="00717582" w:rsidRDefault="00740674"/>
    <w:p w14:paraId="71CF97FA" w14:textId="77777777" w:rsidR="00740674" w:rsidRPr="00717582" w:rsidRDefault="00740674"/>
    <w:p w14:paraId="44063314" w14:textId="77777777" w:rsidR="00740674" w:rsidRPr="00717582" w:rsidRDefault="00740674"/>
    <w:p w14:paraId="12B80013" w14:textId="77777777" w:rsidR="00E315A7" w:rsidRPr="00717582" w:rsidRDefault="00E315A7" w:rsidP="00E315A7"/>
    <w:p w14:paraId="37E79838" w14:textId="77777777" w:rsidR="00E315A7" w:rsidRPr="00717582" w:rsidRDefault="00E315A7" w:rsidP="00E315A7">
      <w:pPr>
        <w:jc w:val="both"/>
        <w:rPr>
          <w:rFonts w:ascii="Arial" w:hAnsi="Arial" w:cs="Arial"/>
          <w:b/>
          <w:sz w:val="20"/>
          <w:szCs w:val="20"/>
        </w:rPr>
      </w:pPr>
      <w:r w:rsidRPr="00717582">
        <w:rPr>
          <w:rFonts w:ascii="Arial" w:hAnsi="Arial" w:cs="Arial"/>
          <w:b/>
          <w:sz w:val="20"/>
          <w:szCs w:val="20"/>
        </w:rPr>
        <w:lastRenderedPageBreak/>
        <w:t>RESUMEN</w:t>
      </w:r>
    </w:p>
    <w:p w14:paraId="3496AD56" w14:textId="77777777" w:rsidR="004A59CB" w:rsidRPr="00717582" w:rsidRDefault="004A59CB" w:rsidP="00E315A7">
      <w:pPr>
        <w:jc w:val="both"/>
        <w:rPr>
          <w:rFonts w:ascii="Arial" w:hAnsi="Arial" w:cs="Arial"/>
          <w:b/>
          <w:sz w:val="20"/>
          <w:szCs w:val="20"/>
        </w:rPr>
      </w:pPr>
    </w:p>
    <w:p w14:paraId="4AC7627A" w14:textId="77777777" w:rsidR="00E315A7" w:rsidRPr="00717582" w:rsidRDefault="00E315A7" w:rsidP="00E315A7">
      <w:pPr>
        <w:jc w:val="both"/>
        <w:rPr>
          <w:rFonts w:ascii="Arial" w:hAnsi="Arial" w:cs="Arial"/>
          <w:b/>
          <w:sz w:val="20"/>
          <w:szCs w:val="20"/>
        </w:rPr>
      </w:pPr>
    </w:p>
    <w:p w14:paraId="5E19BCC2" w14:textId="77777777" w:rsidR="00E315A7" w:rsidRPr="00717582" w:rsidRDefault="00E315A7" w:rsidP="00E315A7">
      <w:pPr>
        <w:jc w:val="both"/>
        <w:rPr>
          <w:rFonts w:ascii="Arial" w:hAnsi="Arial" w:cs="Arial"/>
          <w:sz w:val="20"/>
          <w:szCs w:val="20"/>
        </w:rPr>
      </w:pPr>
      <w:r w:rsidRPr="00717582">
        <w:rPr>
          <w:rFonts w:ascii="Arial" w:hAnsi="Arial" w:cs="Arial"/>
          <w:sz w:val="20"/>
          <w:szCs w:val="20"/>
        </w:rPr>
        <w:t xml:space="preserve">La Leucemia/Linfoma T del Adulto (ATLL) es una neoplasia asociada al HTLV-1 (virus </w:t>
      </w:r>
      <w:proofErr w:type="spellStart"/>
      <w:r w:rsidRPr="00717582">
        <w:rPr>
          <w:rFonts w:ascii="Arial" w:hAnsi="Arial" w:cs="Arial"/>
          <w:sz w:val="20"/>
          <w:szCs w:val="20"/>
        </w:rPr>
        <w:t>linfotrópico</w:t>
      </w:r>
      <w:proofErr w:type="spellEnd"/>
      <w:r w:rsidRPr="00717582">
        <w:rPr>
          <w:rFonts w:ascii="Arial" w:hAnsi="Arial" w:cs="Arial"/>
          <w:sz w:val="20"/>
          <w:szCs w:val="20"/>
        </w:rPr>
        <w:t xml:space="preserve"> humano de células T – 1), considerada de curso agresivo y pronóstico malo, que presenta una distribución geográfica predominantemente en Asia, Sudamérica, el Caribe, </w:t>
      </w:r>
      <w:proofErr w:type="spellStart"/>
      <w:r w:rsidRPr="00717582">
        <w:rPr>
          <w:rFonts w:ascii="Arial" w:hAnsi="Arial" w:cs="Arial"/>
          <w:sz w:val="20"/>
          <w:szCs w:val="20"/>
        </w:rPr>
        <w:t>Africa</w:t>
      </w:r>
      <w:proofErr w:type="spellEnd"/>
      <w:r w:rsidRPr="00717582">
        <w:rPr>
          <w:rFonts w:ascii="Arial" w:hAnsi="Arial" w:cs="Arial"/>
          <w:sz w:val="20"/>
          <w:szCs w:val="20"/>
        </w:rPr>
        <w:t xml:space="preserve"> y Medio Oriente. En Latinoamérica, los países de mayor incidencia son: Brasil, Perú, Chile, Colombia y el Caribe.</w:t>
      </w:r>
    </w:p>
    <w:p w14:paraId="1C6B4189" w14:textId="77777777" w:rsidR="00E315A7" w:rsidRPr="00717582" w:rsidRDefault="00E315A7" w:rsidP="00E315A7">
      <w:pPr>
        <w:jc w:val="both"/>
        <w:rPr>
          <w:rFonts w:ascii="Arial" w:hAnsi="Arial" w:cs="Arial"/>
          <w:sz w:val="20"/>
          <w:szCs w:val="20"/>
        </w:rPr>
      </w:pPr>
    </w:p>
    <w:p w14:paraId="59BDDD30" w14:textId="77777777" w:rsidR="00E315A7" w:rsidRPr="00717582" w:rsidRDefault="00E315A7" w:rsidP="00E315A7">
      <w:pPr>
        <w:jc w:val="both"/>
        <w:rPr>
          <w:rFonts w:ascii="Arial" w:hAnsi="Arial" w:cs="Arial"/>
          <w:sz w:val="20"/>
          <w:szCs w:val="20"/>
        </w:rPr>
      </w:pPr>
      <w:r w:rsidRPr="00717582">
        <w:rPr>
          <w:rFonts w:ascii="Arial" w:hAnsi="Arial" w:cs="Arial"/>
          <w:sz w:val="20"/>
          <w:szCs w:val="20"/>
        </w:rPr>
        <w:t xml:space="preserve">El </w:t>
      </w:r>
      <w:r w:rsidRPr="00717582">
        <w:rPr>
          <w:rFonts w:ascii="Arial" w:hAnsi="Arial" w:cs="Arial"/>
          <w:color w:val="000000" w:themeColor="text1"/>
          <w:sz w:val="20"/>
          <w:szCs w:val="20"/>
          <w:lang w:val="es-ES"/>
        </w:rPr>
        <w:t xml:space="preserve">Grupo de Estudio Latinoamericano en </w:t>
      </w:r>
      <w:proofErr w:type="spellStart"/>
      <w:r w:rsidRPr="00717582">
        <w:rPr>
          <w:rFonts w:ascii="Arial" w:hAnsi="Arial" w:cs="Arial"/>
          <w:color w:val="000000" w:themeColor="text1"/>
          <w:sz w:val="20"/>
          <w:szCs w:val="20"/>
          <w:lang w:val="es-ES"/>
        </w:rPr>
        <w:t>linfoproliferativos</w:t>
      </w:r>
      <w:proofErr w:type="spellEnd"/>
      <w:r w:rsidRPr="00717582">
        <w:rPr>
          <w:rFonts w:ascii="Arial" w:hAnsi="Arial" w:cs="Arial"/>
          <w:sz w:val="20"/>
          <w:szCs w:val="20"/>
        </w:rPr>
        <w:t xml:space="preserve"> (GELL) fue por primea vez concebido en el año 2016, consolidándose como grupo en el año 2018 con la integración de 6 países latinoamericanos. En la actualidad se cuenta con la participación de 9 países: Perú, Colombia, Chile, Venezuela, México, Argentina, Ecuador, Guatemala y Paraguay.</w:t>
      </w:r>
    </w:p>
    <w:p w14:paraId="63DB7205" w14:textId="77777777" w:rsidR="00E315A7" w:rsidRPr="00717582" w:rsidRDefault="00E315A7" w:rsidP="00E315A7">
      <w:pPr>
        <w:jc w:val="both"/>
        <w:rPr>
          <w:rFonts w:ascii="Arial" w:hAnsi="Arial" w:cs="Arial"/>
          <w:color w:val="000000" w:themeColor="text1"/>
          <w:sz w:val="22"/>
          <w:szCs w:val="22"/>
        </w:rPr>
      </w:pPr>
    </w:p>
    <w:p w14:paraId="74B2261F" w14:textId="77777777" w:rsidR="00E315A7" w:rsidRPr="00717582" w:rsidRDefault="00E315A7" w:rsidP="00E315A7">
      <w:pPr>
        <w:jc w:val="both"/>
        <w:rPr>
          <w:rFonts w:ascii="Arial" w:hAnsi="Arial" w:cs="Arial"/>
          <w:color w:val="000000" w:themeColor="text1"/>
          <w:sz w:val="20"/>
          <w:szCs w:val="20"/>
          <w:lang w:val="es-ES"/>
        </w:rPr>
      </w:pPr>
      <w:r w:rsidRPr="00717582">
        <w:rPr>
          <w:rFonts w:ascii="Arial" w:hAnsi="Arial" w:cs="Arial"/>
          <w:color w:val="000000" w:themeColor="text1"/>
          <w:sz w:val="20"/>
          <w:szCs w:val="20"/>
          <w:lang w:val="es-ES"/>
        </w:rPr>
        <w:t>El objetivo del presente estudio es describir las características epidemiológicas y clínicas de los casos de Leucemia/ linfoma de células T del adulto de los países que forman parte del Grupo GELL con la finalidad de tener un mayor conocimiento sobre la evolución de la esta neoplasia en nuestros países.</w:t>
      </w:r>
    </w:p>
    <w:p w14:paraId="716D5A36" w14:textId="77777777" w:rsidR="00E315A7" w:rsidRPr="00717582" w:rsidRDefault="00E315A7" w:rsidP="00E315A7">
      <w:pPr>
        <w:jc w:val="both"/>
        <w:rPr>
          <w:rFonts w:ascii="Arial" w:hAnsi="Arial" w:cs="Arial"/>
          <w:sz w:val="20"/>
          <w:szCs w:val="20"/>
        </w:rPr>
      </w:pPr>
    </w:p>
    <w:p w14:paraId="0B2AB9A3" w14:textId="0C0B64B3" w:rsidR="00E315A7" w:rsidRPr="00717582" w:rsidRDefault="00E315A7" w:rsidP="00E315A7">
      <w:pPr>
        <w:jc w:val="both"/>
        <w:rPr>
          <w:rFonts w:ascii="Arial" w:eastAsia="Times New Roman" w:hAnsi="Arial" w:cs="Arial"/>
          <w:sz w:val="20"/>
          <w:szCs w:val="20"/>
          <w:lang w:val="es-ES" w:eastAsia="es-ES"/>
        </w:rPr>
      </w:pPr>
      <w:r w:rsidRPr="00717582">
        <w:rPr>
          <w:rFonts w:ascii="Arial" w:eastAsia="Times New Roman" w:hAnsi="Arial" w:cs="Arial"/>
          <w:bCs/>
          <w:sz w:val="20"/>
          <w:szCs w:val="20"/>
          <w:lang w:val="es-ES" w:eastAsia="es-ES"/>
        </w:rPr>
        <w:t>El diseño de estudio</w:t>
      </w:r>
      <w:r w:rsidRPr="00717582">
        <w:rPr>
          <w:rFonts w:ascii="Arial" w:eastAsia="Times New Roman" w:hAnsi="Arial" w:cs="Arial"/>
          <w:b/>
          <w:sz w:val="20"/>
          <w:szCs w:val="20"/>
          <w:lang w:val="es-ES" w:eastAsia="es-ES"/>
        </w:rPr>
        <w:t xml:space="preserve"> </w:t>
      </w:r>
      <w:r w:rsidRPr="00717582">
        <w:rPr>
          <w:rFonts w:ascii="Arial" w:eastAsia="Times New Roman" w:hAnsi="Arial" w:cs="Arial"/>
          <w:bCs/>
          <w:sz w:val="20"/>
          <w:szCs w:val="20"/>
          <w:lang w:val="es-ES" w:eastAsia="es-ES"/>
        </w:rPr>
        <w:t>es</w:t>
      </w:r>
      <w:r w:rsidRPr="00717582">
        <w:rPr>
          <w:rFonts w:ascii="Arial" w:eastAsia="Times New Roman" w:hAnsi="Arial" w:cs="Arial"/>
          <w:sz w:val="20"/>
          <w:szCs w:val="20"/>
          <w:lang w:eastAsia="es-ES"/>
        </w:rPr>
        <w:t xml:space="preserve"> observacional, transversal, retrospectivo, con recolección de fuentes secundarias</w:t>
      </w:r>
      <w:r w:rsidRPr="00717582">
        <w:rPr>
          <w:rFonts w:ascii="Arial" w:eastAsia="Times New Roman" w:hAnsi="Arial" w:cs="Arial"/>
          <w:sz w:val="20"/>
          <w:szCs w:val="20"/>
          <w:lang w:val="es-ES" w:eastAsia="es-ES"/>
        </w:rPr>
        <w:t xml:space="preserve">. La recolección de datos se realizará de las historias clínicas de estos pacientes, los cuales incluirán datos epidemiológicos como edad, sexo, datos </w:t>
      </w:r>
      <w:r w:rsidR="00717582">
        <w:rPr>
          <w:rFonts w:ascii="Arial" w:eastAsia="Times New Roman" w:hAnsi="Arial" w:cs="Arial"/>
          <w:sz w:val="20"/>
          <w:szCs w:val="20"/>
          <w:lang w:val="es-ES" w:eastAsia="es-ES"/>
        </w:rPr>
        <w:t xml:space="preserve">clínicos y de laboratorio de los pacientes con </w:t>
      </w:r>
      <w:r w:rsidRPr="00717582">
        <w:rPr>
          <w:rFonts w:ascii="Arial" w:eastAsia="Times New Roman" w:hAnsi="Arial" w:cs="Arial"/>
          <w:sz w:val="20"/>
          <w:szCs w:val="20"/>
          <w:lang w:val="es-ES" w:eastAsia="es-ES"/>
        </w:rPr>
        <w:t xml:space="preserve">diagnóstico confirmado de </w:t>
      </w:r>
      <w:r w:rsidRPr="00717582">
        <w:rPr>
          <w:rFonts w:ascii="Arial" w:hAnsi="Arial" w:cs="Arial"/>
          <w:sz w:val="20"/>
          <w:szCs w:val="20"/>
        </w:rPr>
        <w:t xml:space="preserve">ATLL. </w:t>
      </w:r>
    </w:p>
    <w:p w14:paraId="59098D7B" w14:textId="77777777" w:rsidR="00E315A7" w:rsidRPr="00717582" w:rsidRDefault="00E315A7" w:rsidP="00B97A6B">
      <w:pPr>
        <w:rPr>
          <w:rFonts w:ascii="Arial" w:eastAsia="Times New Roman" w:hAnsi="Arial" w:cs="Arial"/>
          <w:b/>
          <w:sz w:val="22"/>
          <w:szCs w:val="22"/>
        </w:rPr>
      </w:pPr>
    </w:p>
    <w:p w14:paraId="5E858651" w14:textId="77777777" w:rsidR="00E315A7" w:rsidRPr="00717582" w:rsidRDefault="00E315A7" w:rsidP="00B97A6B">
      <w:pPr>
        <w:rPr>
          <w:rFonts w:ascii="Arial" w:eastAsia="Times New Roman" w:hAnsi="Arial" w:cs="Arial"/>
          <w:b/>
          <w:sz w:val="22"/>
          <w:szCs w:val="22"/>
        </w:rPr>
      </w:pPr>
    </w:p>
    <w:p w14:paraId="437EBB13" w14:textId="77777777" w:rsidR="00E315A7" w:rsidRPr="00717582" w:rsidRDefault="00E315A7" w:rsidP="00B97A6B">
      <w:pPr>
        <w:rPr>
          <w:rFonts w:ascii="Arial" w:eastAsia="Times New Roman" w:hAnsi="Arial" w:cs="Arial"/>
          <w:b/>
          <w:sz w:val="22"/>
          <w:szCs w:val="22"/>
        </w:rPr>
      </w:pPr>
    </w:p>
    <w:p w14:paraId="6FDBA616" w14:textId="77777777" w:rsidR="00E315A7" w:rsidRPr="00717582" w:rsidRDefault="00E315A7" w:rsidP="00B97A6B">
      <w:pPr>
        <w:rPr>
          <w:rFonts w:ascii="Arial" w:eastAsia="Times New Roman" w:hAnsi="Arial" w:cs="Arial"/>
          <w:b/>
          <w:sz w:val="22"/>
          <w:szCs w:val="22"/>
        </w:rPr>
      </w:pPr>
    </w:p>
    <w:p w14:paraId="01206AF9" w14:textId="77777777" w:rsidR="00E315A7" w:rsidRPr="00717582" w:rsidRDefault="00E315A7" w:rsidP="00B97A6B">
      <w:pPr>
        <w:rPr>
          <w:rFonts w:ascii="Arial" w:eastAsia="Times New Roman" w:hAnsi="Arial" w:cs="Arial"/>
          <w:b/>
          <w:sz w:val="22"/>
          <w:szCs w:val="22"/>
        </w:rPr>
      </w:pPr>
    </w:p>
    <w:p w14:paraId="53B4943E" w14:textId="77777777" w:rsidR="00E315A7" w:rsidRPr="00717582" w:rsidRDefault="00E315A7" w:rsidP="00B97A6B">
      <w:pPr>
        <w:rPr>
          <w:rFonts w:ascii="Arial" w:eastAsia="Times New Roman" w:hAnsi="Arial" w:cs="Arial"/>
          <w:b/>
          <w:sz w:val="22"/>
          <w:szCs w:val="22"/>
        </w:rPr>
      </w:pPr>
    </w:p>
    <w:p w14:paraId="51A7FACC" w14:textId="77777777" w:rsidR="00E315A7" w:rsidRPr="00717582" w:rsidRDefault="00E315A7" w:rsidP="00B97A6B">
      <w:pPr>
        <w:rPr>
          <w:rFonts w:ascii="Arial" w:eastAsia="Times New Roman" w:hAnsi="Arial" w:cs="Arial"/>
          <w:b/>
          <w:sz w:val="22"/>
          <w:szCs w:val="22"/>
        </w:rPr>
      </w:pPr>
    </w:p>
    <w:p w14:paraId="344D351C" w14:textId="77777777" w:rsidR="00E315A7" w:rsidRPr="00717582" w:rsidRDefault="00E315A7" w:rsidP="00B97A6B">
      <w:pPr>
        <w:rPr>
          <w:rFonts w:ascii="Arial" w:eastAsia="Times New Roman" w:hAnsi="Arial" w:cs="Arial"/>
          <w:b/>
          <w:sz w:val="22"/>
          <w:szCs w:val="22"/>
        </w:rPr>
      </w:pPr>
    </w:p>
    <w:p w14:paraId="10FB3436" w14:textId="77777777" w:rsidR="00E315A7" w:rsidRPr="00717582" w:rsidRDefault="00E315A7" w:rsidP="00B97A6B">
      <w:pPr>
        <w:rPr>
          <w:rFonts w:ascii="Arial" w:eastAsia="Times New Roman" w:hAnsi="Arial" w:cs="Arial"/>
          <w:b/>
          <w:sz w:val="22"/>
          <w:szCs w:val="22"/>
        </w:rPr>
      </w:pPr>
    </w:p>
    <w:p w14:paraId="100EC892" w14:textId="77777777" w:rsidR="00E315A7" w:rsidRPr="00717582" w:rsidRDefault="00E315A7" w:rsidP="00B97A6B">
      <w:pPr>
        <w:rPr>
          <w:rFonts w:ascii="Arial" w:eastAsia="Times New Roman" w:hAnsi="Arial" w:cs="Arial"/>
          <w:b/>
          <w:sz w:val="22"/>
          <w:szCs w:val="22"/>
        </w:rPr>
      </w:pPr>
    </w:p>
    <w:p w14:paraId="2231516C" w14:textId="77777777" w:rsidR="00E315A7" w:rsidRPr="00717582" w:rsidRDefault="00E315A7" w:rsidP="00B97A6B">
      <w:pPr>
        <w:rPr>
          <w:rFonts w:ascii="Arial" w:eastAsia="Times New Roman" w:hAnsi="Arial" w:cs="Arial"/>
          <w:b/>
          <w:sz w:val="22"/>
          <w:szCs w:val="22"/>
        </w:rPr>
      </w:pPr>
    </w:p>
    <w:p w14:paraId="590D618B" w14:textId="77777777" w:rsidR="00E315A7" w:rsidRPr="00717582" w:rsidRDefault="00E315A7" w:rsidP="00B97A6B">
      <w:pPr>
        <w:rPr>
          <w:rFonts w:ascii="Arial" w:eastAsia="Times New Roman" w:hAnsi="Arial" w:cs="Arial"/>
          <w:b/>
          <w:sz w:val="22"/>
          <w:szCs w:val="22"/>
        </w:rPr>
      </w:pPr>
    </w:p>
    <w:p w14:paraId="7163EC02" w14:textId="77777777" w:rsidR="00E315A7" w:rsidRPr="00717582" w:rsidRDefault="00E315A7" w:rsidP="00B97A6B">
      <w:pPr>
        <w:rPr>
          <w:rFonts w:ascii="Arial" w:eastAsia="Times New Roman" w:hAnsi="Arial" w:cs="Arial"/>
          <w:b/>
          <w:sz w:val="22"/>
          <w:szCs w:val="22"/>
        </w:rPr>
      </w:pPr>
    </w:p>
    <w:p w14:paraId="2161F2C1" w14:textId="77777777" w:rsidR="00E315A7" w:rsidRPr="00717582" w:rsidRDefault="00E315A7" w:rsidP="00B97A6B">
      <w:pPr>
        <w:rPr>
          <w:rFonts w:ascii="Arial" w:eastAsia="Times New Roman" w:hAnsi="Arial" w:cs="Arial"/>
          <w:b/>
          <w:sz w:val="22"/>
          <w:szCs w:val="22"/>
        </w:rPr>
      </w:pPr>
    </w:p>
    <w:p w14:paraId="45AA8A7D" w14:textId="77777777" w:rsidR="00E315A7" w:rsidRPr="00717582" w:rsidRDefault="00E315A7" w:rsidP="00B97A6B">
      <w:pPr>
        <w:rPr>
          <w:rFonts w:ascii="Arial" w:eastAsia="Times New Roman" w:hAnsi="Arial" w:cs="Arial"/>
          <w:b/>
          <w:sz w:val="22"/>
          <w:szCs w:val="22"/>
        </w:rPr>
      </w:pPr>
    </w:p>
    <w:p w14:paraId="3A8FB5FA" w14:textId="77777777" w:rsidR="00E315A7" w:rsidRPr="00717582" w:rsidRDefault="00E315A7" w:rsidP="00B97A6B">
      <w:pPr>
        <w:rPr>
          <w:rFonts w:ascii="Arial" w:eastAsia="Times New Roman" w:hAnsi="Arial" w:cs="Arial"/>
          <w:b/>
          <w:sz w:val="22"/>
          <w:szCs w:val="22"/>
        </w:rPr>
      </w:pPr>
    </w:p>
    <w:p w14:paraId="3645061F" w14:textId="77777777" w:rsidR="00E315A7" w:rsidRPr="00717582" w:rsidRDefault="00E315A7" w:rsidP="00B97A6B">
      <w:pPr>
        <w:rPr>
          <w:rFonts w:ascii="Arial" w:eastAsia="Times New Roman" w:hAnsi="Arial" w:cs="Arial"/>
          <w:b/>
          <w:sz w:val="22"/>
          <w:szCs w:val="22"/>
        </w:rPr>
      </w:pPr>
    </w:p>
    <w:p w14:paraId="1108A5FC" w14:textId="77777777" w:rsidR="00E315A7" w:rsidRPr="00717582" w:rsidRDefault="00E315A7" w:rsidP="00B97A6B">
      <w:pPr>
        <w:rPr>
          <w:rFonts w:ascii="Arial" w:eastAsia="Times New Roman" w:hAnsi="Arial" w:cs="Arial"/>
          <w:b/>
          <w:sz w:val="22"/>
          <w:szCs w:val="22"/>
        </w:rPr>
      </w:pPr>
    </w:p>
    <w:p w14:paraId="13D47C68" w14:textId="77777777" w:rsidR="00E315A7" w:rsidRPr="00717582" w:rsidRDefault="00E315A7" w:rsidP="00B97A6B">
      <w:pPr>
        <w:rPr>
          <w:rFonts w:ascii="Arial" w:eastAsia="Times New Roman" w:hAnsi="Arial" w:cs="Arial"/>
          <w:b/>
          <w:sz w:val="22"/>
          <w:szCs w:val="22"/>
        </w:rPr>
      </w:pPr>
    </w:p>
    <w:p w14:paraId="59B55CAC" w14:textId="77777777" w:rsidR="00E315A7" w:rsidRPr="00717582" w:rsidRDefault="00E315A7" w:rsidP="00B97A6B">
      <w:pPr>
        <w:rPr>
          <w:rFonts w:ascii="Arial" w:eastAsia="Times New Roman" w:hAnsi="Arial" w:cs="Arial"/>
          <w:b/>
          <w:sz w:val="22"/>
          <w:szCs w:val="22"/>
        </w:rPr>
      </w:pPr>
    </w:p>
    <w:p w14:paraId="1DB129D9" w14:textId="77777777" w:rsidR="00E315A7" w:rsidRPr="00717582" w:rsidRDefault="00E315A7" w:rsidP="00B97A6B">
      <w:pPr>
        <w:rPr>
          <w:rFonts w:ascii="Arial" w:eastAsia="Times New Roman" w:hAnsi="Arial" w:cs="Arial"/>
          <w:b/>
          <w:sz w:val="22"/>
          <w:szCs w:val="22"/>
        </w:rPr>
      </w:pPr>
    </w:p>
    <w:p w14:paraId="309F2ADF" w14:textId="77777777" w:rsidR="00E315A7" w:rsidRPr="00717582" w:rsidRDefault="00E315A7" w:rsidP="00B97A6B">
      <w:pPr>
        <w:rPr>
          <w:rFonts w:ascii="Arial" w:eastAsia="Times New Roman" w:hAnsi="Arial" w:cs="Arial"/>
          <w:b/>
          <w:sz w:val="22"/>
          <w:szCs w:val="22"/>
        </w:rPr>
      </w:pPr>
    </w:p>
    <w:p w14:paraId="653C79F6" w14:textId="77777777" w:rsidR="00E315A7" w:rsidRPr="00717582" w:rsidRDefault="00E315A7" w:rsidP="00B97A6B">
      <w:pPr>
        <w:rPr>
          <w:rFonts w:ascii="Arial" w:eastAsia="Times New Roman" w:hAnsi="Arial" w:cs="Arial"/>
          <w:b/>
          <w:sz w:val="22"/>
          <w:szCs w:val="22"/>
        </w:rPr>
      </w:pPr>
    </w:p>
    <w:p w14:paraId="5C1FC11C" w14:textId="77777777" w:rsidR="00E315A7" w:rsidRPr="00717582" w:rsidRDefault="00E315A7" w:rsidP="00B97A6B">
      <w:pPr>
        <w:rPr>
          <w:rFonts w:ascii="Arial" w:eastAsia="Times New Roman" w:hAnsi="Arial" w:cs="Arial"/>
          <w:b/>
          <w:sz w:val="22"/>
          <w:szCs w:val="22"/>
        </w:rPr>
      </w:pPr>
    </w:p>
    <w:p w14:paraId="49403AD8" w14:textId="77777777" w:rsidR="00E315A7" w:rsidRPr="00717582" w:rsidRDefault="00E315A7" w:rsidP="00B97A6B">
      <w:pPr>
        <w:rPr>
          <w:rFonts w:ascii="Arial" w:eastAsia="Times New Roman" w:hAnsi="Arial" w:cs="Arial"/>
          <w:b/>
          <w:sz w:val="22"/>
          <w:szCs w:val="22"/>
        </w:rPr>
      </w:pPr>
    </w:p>
    <w:p w14:paraId="401E4AFC" w14:textId="77777777" w:rsidR="00E315A7" w:rsidRPr="00717582" w:rsidRDefault="00E315A7" w:rsidP="00B97A6B">
      <w:pPr>
        <w:rPr>
          <w:rFonts w:ascii="Arial" w:eastAsia="Times New Roman" w:hAnsi="Arial" w:cs="Arial"/>
          <w:b/>
          <w:sz w:val="22"/>
          <w:szCs w:val="22"/>
        </w:rPr>
      </w:pPr>
    </w:p>
    <w:p w14:paraId="652F6935" w14:textId="77777777" w:rsidR="00E315A7" w:rsidRPr="00717582" w:rsidRDefault="00E315A7" w:rsidP="00B97A6B">
      <w:pPr>
        <w:rPr>
          <w:rFonts w:ascii="Arial" w:eastAsia="Times New Roman" w:hAnsi="Arial" w:cs="Arial"/>
          <w:b/>
          <w:sz w:val="22"/>
          <w:szCs w:val="22"/>
        </w:rPr>
      </w:pPr>
    </w:p>
    <w:p w14:paraId="6DEE3B59" w14:textId="77777777" w:rsidR="00E315A7" w:rsidRPr="00717582" w:rsidRDefault="00E315A7" w:rsidP="00B97A6B">
      <w:pPr>
        <w:rPr>
          <w:rFonts w:ascii="Arial" w:eastAsia="Times New Roman" w:hAnsi="Arial" w:cs="Arial"/>
          <w:b/>
          <w:sz w:val="22"/>
          <w:szCs w:val="22"/>
        </w:rPr>
      </w:pPr>
    </w:p>
    <w:p w14:paraId="587F8031" w14:textId="77777777" w:rsidR="00E315A7" w:rsidRPr="00717582" w:rsidRDefault="00E315A7" w:rsidP="00B97A6B">
      <w:pPr>
        <w:rPr>
          <w:rFonts w:ascii="Arial" w:eastAsia="Times New Roman" w:hAnsi="Arial" w:cs="Arial"/>
          <w:b/>
          <w:sz w:val="22"/>
          <w:szCs w:val="22"/>
        </w:rPr>
      </w:pPr>
    </w:p>
    <w:p w14:paraId="6767BB31" w14:textId="77777777" w:rsidR="00E315A7" w:rsidRPr="00717582" w:rsidRDefault="00E315A7" w:rsidP="00B97A6B">
      <w:pPr>
        <w:rPr>
          <w:rFonts w:ascii="Arial" w:eastAsia="Times New Roman" w:hAnsi="Arial" w:cs="Arial"/>
          <w:b/>
          <w:sz w:val="22"/>
          <w:szCs w:val="22"/>
        </w:rPr>
      </w:pPr>
    </w:p>
    <w:p w14:paraId="11853C5E" w14:textId="77777777" w:rsidR="00E315A7" w:rsidRPr="00717582" w:rsidRDefault="00E315A7" w:rsidP="00B97A6B">
      <w:pPr>
        <w:rPr>
          <w:rFonts w:ascii="Arial" w:eastAsia="Times New Roman" w:hAnsi="Arial" w:cs="Arial"/>
          <w:b/>
          <w:sz w:val="22"/>
          <w:szCs w:val="22"/>
        </w:rPr>
      </w:pPr>
    </w:p>
    <w:p w14:paraId="6F92433C" w14:textId="77777777" w:rsidR="00D70806" w:rsidRPr="00717582" w:rsidRDefault="00D70806" w:rsidP="00B97A6B">
      <w:pPr>
        <w:rPr>
          <w:rFonts w:ascii="Arial" w:eastAsia="Times New Roman" w:hAnsi="Arial" w:cs="Arial"/>
          <w:b/>
          <w:sz w:val="22"/>
          <w:szCs w:val="22"/>
        </w:rPr>
      </w:pPr>
    </w:p>
    <w:p w14:paraId="3F699566" w14:textId="77777777" w:rsidR="00E315A7" w:rsidRPr="00717582" w:rsidRDefault="00E315A7" w:rsidP="00B97A6B">
      <w:pPr>
        <w:rPr>
          <w:rFonts w:ascii="Arial" w:eastAsia="Times New Roman" w:hAnsi="Arial" w:cs="Arial"/>
          <w:b/>
          <w:sz w:val="22"/>
          <w:szCs w:val="22"/>
        </w:rPr>
      </w:pPr>
    </w:p>
    <w:p w14:paraId="3BCE70BE" w14:textId="5BCDB82F" w:rsidR="00B97A6B" w:rsidRPr="00717582" w:rsidRDefault="00D70806" w:rsidP="00B97A6B">
      <w:pPr>
        <w:rPr>
          <w:rFonts w:ascii="Arial" w:eastAsia="Times New Roman" w:hAnsi="Arial" w:cs="Arial"/>
          <w:b/>
          <w:sz w:val="22"/>
          <w:szCs w:val="22"/>
        </w:rPr>
      </w:pPr>
      <w:r w:rsidRPr="00717582">
        <w:rPr>
          <w:rFonts w:ascii="Arial" w:eastAsia="Times New Roman" w:hAnsi="Arial" w:cs="Arial"/>
          <w:b/>
          <w:sz w:val="22"/>
          <w:szCs w:val="22"/>
        </w:rPr>
        <w:lastRenderedPageBreak/>
        <w:t>INDICE</w:t>
      </w:r>
    </w:p>
    <w:p w14:paraId="79C803E9" w14:textId="77777777" w:rsidR="002A1358" w:rsidRPr="00717582" w:rsidRDefault="002A1358" w:rsidP="00B97A6B">
      <w:pPr>
        <w:rPr>
          <w:rFonts w:ascii="Arial" w:eastAsia="Times New Roman" w:hAnsi="Arial" w:cs="Arial"/>
          <w:sz w:val="22"/>
          <w:szCs w:val="22"/>
        </w:rPr>
      </w:pPr>
    </w:p>
    <w:p w14:paraId="094AE826" w14:textId="77777777" w:rsidR="00EB5EC3" w:rsidRPr="00717582" w:rsidRDefault="00EB5EC3" w:rsidP="00EB5EC3">
      <w:pPr>
        <w:autoSpaceDE w:val="0"/>
        <w:autoSpaceDN w:val="0"/>
        <w:adjustRightInd w:val="0"/>
        <w:jc w:val="both"/>
        <w:rPr>
          <w:rFonts w:ascii="Arial" w:hAnsi="Arial" w:cs="Arial"/>
          <w:b/>
          <w:bCs/>
          <w:color w:val="000000"/>
          <w:sz w:val="20"/>
          <w:szCs w:val="20"/>
        </w:rPr>
      </w:pPr>
    </w:p>
    <w:p w14:paraId="19B8BFDE" w14:textId="0CA2D4CB"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b/>
          <w:bCs/>
          <w:color w:val="000000"/>
          <w:sz w:val="20"/>
          <w:szCs w:val="20"/>
        </w:rPr>
        <w:t>RESUMEN</w:t>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r>
      <w:r w:rsidR="00D70806" w:rsidRPr="00717582">
        <w:rPr>
          <w:rFonts w:ascii="Arial" w:hAnsi="Arial" w:cs="Arial"/>
          <w:color w:val="000000"/>
          <w:sz w:val="20"/>
          <w:szCs w:val="20"/>
        </w:rPr>
        <w:tab/>
        <w:t>1</w:t>
      </w:r>
    </w:p>
    <w:p w14:paraId="5FA554C1" w14:textId="77777777" w:rsidR="00EB5EC3" w:rsidRPr="00717582" w:rsidRDefault="00EB5EC3" w:rsidP="00EB5EC3">
      <w:pPr>
        <w:rPr>
          <w:rFonts w:ascii="Arial" w:hAnsi="Arial" w:cs="Arial"/>
          <w:color w:val="000000"/>
          <w:sz w:val="20"/>
          <w:szCs w:val="20"/>
        </w:rPr>
      </w:pPr>
    </w:p>
    <w:p w14:paraId="64B1574A" w14:textId="77777777" w:rsidR="00EB5EC3" w:rsidRPr="00717582" w:rsidRDefault="00EB5EC3" w:rsidP="00EB5EC3">
      <w:pPr>
        <w:rPr>
          <w:rFonts w:ascii="Arial" w:hAnsi="Arial" w:cs="Arial"/>
          <w:color w:val="000000"/>
          <w:sz w:val="20"/>
          <w:szCs w:val="20"/>
        </w:rPr>
      </w:pPr>
    </w:p>
    <w:p w14:paraId="026E904C" w14:textId="31817732" w:rsidR="00EB5EC3" w:rsidRPr="00717582" w:rsidRDefault="00D70806" w:rsidP="00EB5EC3">
      <w:pPr>
        <w:rPr>
          <w:rFonts w:ascii="Arial" w:hAnsi="Arial" w:cs="Arial"/>
          <w:color w:val="000000"/>
          <w:sz w:val="20"/>
          <w:szCs w:val="20"/>
        </w:rPr>
      </w:pPr>
      <w:r w:rsidRPr="00717582">
        <w:rPr>
          <w:rFonts w:ascii="Arial" w:hAnsi="Arial" w:cs="Arial"/>
          <w:color w:val="000000"/>
          <w:sz w:val="20"/>
          <w:szCs w:val="20"/>
        </w:rPr>
        <w:t xml:space="preserve">Índice </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2</w:t>
      </w:r>
    </w:p>
    <w:p w14:paraId="66A261FD" w14:textId="77777777" w:rsidR="00EB5EC3" w:rsidRPr="00717582" w:rsidRDefault="00EB5EC3" w:rsidP="00EB5EC3">
      <w:pPr>
        <w:autoSpaceDE w:val="0"/>
        <w:autoSpaceDN w:val="0"/>
        <w:adjustRightInd w:val="0"/>
        <w:jc w:val="both"/>
        <w:rPr>
          <w:rFonts w:ascii="Arial" w:hAnsi="Arial" w:cs="Arial"/>
          <w:color w:val="000000"/>
          <w:sz w:val="20"/>
          <w:szCs w:val="20"/>
        </w:rPr>
      </w:pPr>
    </w:p>
    <w:p w14:paraId="7E961175" w14:textId="22D73C33"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CAPITULO I INTRODUCCION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t>3</w:t>
      </w:r>
    </w:p>
    <w:p w14:paraId="5E28B195" w14:textId="77777777" w:rsidR="00EB5EC3" w:rsidRPr="00717582" w:rsidRDefault="00EB5EC3" w:rsidP="00EB5EC3">
      <w:pPr>
        <w:autoSpaceDE w:val="0"/>
        <w:autoSpaceDN w:val="0"/>
        <w:adjustRightInd w:val="0"/>
        <w:jc w:val="both"/>
        <w:rPr>
          <w:rFonts w:ascii="Arial" w:hAnsi="Arial" w:cs="Arial"/>
          <w:color w:val="000000"/>
          <w:sz w:val="20"/>
          <w:szCs w:val="20"/>
        </w:rPr>
      </w:pPr>
    </w:p>
    <w:p w14:paraId="5A31998A" w14:textId="7CB40D11"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 xml:space="preserve">1.1. </w:t>
      </w:r>
      <w:r w:rsidRPr="00717582">
        <w:rPr>
          <w:rFonts w:ascii="Arial" w:hAnsi="Arial" w:cs="Arial"/>
          <w:color w:val="000000"/>
          <w:sz w:val="20"/>
          <w:szCs w:val="20"/>
        </w:rPr>
        <w:tab/>
        <w:t>Marco teórico</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3</w:t>
      </w:r>
    </w:p>
    <w:p w14:paraId="3BDC1900" w14:textId="3FA75594"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1.2.</w:t>
      </w:r>
      <w:r w:rsidRPr="00717582">
        <w:rPr>
          <w:rFonts w:ascii="Arial" w:hAnsi="Arial" w:cs="Arial"/>
          <w:color w:val="000000"/>
          <w:sz w:val="20"/>
          <w:szCs w:val="20"/>
        </w:rPr>
        <w:tab/>
      </w:r>
      <w:r w:rsidR="00D70806" w:rsidRPr="00717582">
        <w:rPr>
          <w:rFonts w:ascii="Arial" w:hAnsi="Arial" w:cs="Arial"/>
          <w:color w:val="000000"/>
          <w:sz w:val="20"/>
          <w:szCs w:val="20"/>
        </w:rPr>
        <w:t>Planteamiento del problema</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 xml:space="preserve">             4</w:t>
      </w:r>
    </w:p>
    <w:p w14:paraId="05B7F4FD" w14:textId="1760E720"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1.3.</w:t>
      </w:r>
      <w:r w:rsidRPr="00717582">
        <w:rPr>
          <w:rFonts w:ascii="Arial" w:hAnsi="Arial" w:cs="Arial"/>
          <w:color w:val="000000"/>
          <w:sz w:val="20"/>
          <w:szCs w:val="20"/>
        </w:rPr>
        <w:tab/>
        <w:t>Justificación del estudio</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4</w:t>
      </w:r>
    </w:p>
    <w:p w14:paraId="568AB9B7" w14:textId="77777777" w:rsidR="00EB5EC3" w:rsidRPr="00717582" w:rsidRDefault="00EB5EC3" w:rsidP="00EB5EC3">
      <w:pPr>
        <w:autoSpaceDE w:val="0"/>
        <w:autoSpaceDN w:val="0"/>
        <w:adjustRightInd w:val="0"/>
        <w:jc w:val="both"/>
        <w:rPr>
          <w:rFonts w:ascii="Arial" w:hAnsi="Arial" w:cs="Arial"/>
          <w:color w:val="000000"/>
          <w:sz w:val="20"/>
          <w:szCs w:val="20"/>
        </w:rPr>
      </w:pPr>
    </w:p>
    <w:p w14:paraId="23038E81" w14:textId="21F4ACE2"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CAPITULO II OBJETIVOS DE INVESTIGACION</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6E4174" w:rsidRPr="00717582">
        <w:rPr>
          <w:rFonts w:ascii="Arial" w:hAnsi="Arial" w:cs="Arial"/>
          <w:color w:val="000000"/>
          <w:sz w:val="20"/>
          <w:szCs w:val="20"/>
        </w:rPr>
        <w:t xml:space="preserve">             </w:t>
      </w:r>
      <w:r w:rsidR="00D70806" w:rsidRPr="00717582">
        <w:rPr>
          <w:rFonts w:ascii="Arial" w:hAnsi="Arial" w:cs="Arial"/>
          <w:color w:val="000000"/>
          <w:sz w:val="20"/>
          <w:szCs w:val="20"/>
        </w:rPr>
        <w:t>5</w:t>
      </w:r>
    </w:p>
    <w:p w14:paraId="5A7EA95A" w14:textId="099E7669"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2.1.</w:t>
      </w:r>
      <w:r w:rsidRPr="00717582">
        <w:rPr>
          <w:rFonts w:ascii="Arial" w:hAnsi="Arial" w:cs="Arial"/>
          <w:color w:val="000000"/>
          <w:sz w:val="20"/>
          <w:szCs w:val="20"/>
        </w:rPr>
        <w:tab/>
        <w:t>Objetivo general</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5</w:t>
      </w:r>
    </w:p>
    <w:p w14:paraId="4833CE44" w14:textId="43A94558"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2.2.</w:t>
      </w:r>
      <w:r w:rsidRPr="00717582">
        <w:rPr>
          <w:rFonts w:ascii="Arial" w:hAnsi="Arial" w:cs="Arial"/>
          <w:color w:val="000000"/>
          <w:sz w:val="20"/>
          <w:szCs w:val="20"/>
        </w:rPr>
        <w:tab/>
        <w:t>Objetivos específicos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5</w:t>
      </w:r>
    </w:p>
    <w:p w14:paraId="067CE81D" w14:textId="77777777" w:rsidR="00EB5EC3" w:rsidRPr="00717582" w:rsidRDefault="00EB5EC3" w:rsidP="00EB5EC3">
      <w:pPr>
        <w:autoSpaceDE w:val="0"/>
        <w:autoSpaceDN w:val="0"/>
        <w:adjustRightInd w:val="0"/>
        <w:jc w:val="both"/>
        <w:rPr>
          <w:rFonts w:ascii="Arial" w:hAnsi="Arial" w:cs="Arial"/>
          <w:color w:val="000000"/>
          <w:sz w:val="20"/>
          <w:szCs w:val="20"/>
        </w:rPr>
      </w:pPr>
    </w:p>
    <w:p w14:paraId="00E1591C" w14:textId="64A9BF0A"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CAPÍTULO III   METODOLOGIA</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6E4174" w:rsidRPr="00717582">
        <w:rPr>
          <w:rFonts w:ascii="Arial" w:hAnsi="Arial" w:cs="Arial"/>
          <w:color w:val="000000"/>
          <w:sz w:val="20"/>
          <w:szCs w:val="20"/>
        </w:rPr>
        <w:t xml:space="preserve">             </w:t>
      </w:r>
      <w:r w:rsidR="00D70806" w:rsidRPr="00717582">
        <w:rPr>
          <w:rFonts w:ascii="Arial" w:hAnsi="Arial" w:cs="Arial"/>
          <w:color w:val="000000"/>
          <w:sz w:val="20"/>
          <w:szCs w:val="20"/>
        </w:rPr>
        <w:t>5</w:t>
      </w:r>
    </w:p>
    <w:p w14:paraId="60243FF7" w14:textId="6842E4CE"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3.1</w:t>
      </w:r>
      <w:r w:rsidR="00EB5EC3" w:rsidRPr="00717582">
        <w:rPr>
          <w:rFonts w:ascii="Arial" w:hAnsi="Arial" w:cs="Arial"/>
          <w:color w:val="000000"/>
          <w:sz w:val="20"/>
          <w:szCs w:val="20"/>
        </w:rPr>
        <w:tab/>
        <w:t xml:space="preserve">Diseño de estudio </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Pr="00717582">
        <w:rPr>
          <w:rFonts w:ascii="Arial" w:hAnsi="Arial" w:cs="Arial"/>
          <w:color w:val="000000"/>
          <w:sz w:val="20"/>
          <w:szCs w:val="20"/>
        </w:rPr>
        <w:t>5</w:t>
      </w:r>
    </w:p>
    <w:p w14:paraId="69B6DACB" w14:textId="630C42DF"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3.2</w:t>
      </w:r>
      <w:r w:rsidR="00EB5EC3" w:rsidRPr="00717582">
        <w:rPr>
          <w:rFonts w:ascii="Arial" w:hAnsi="Arial" w:cs="Arial"/>
          <w:color w:val="000000"/>
          <w:sz w:val="20"/>
          <w:szCs w:val="20"/>
        </w:rPr>
        <w:t xml:space="preserve"> </w:t>
      </w:r>
      <w:r w:rsidR="00EB5EC3" w:rsidRPr="00717582">
        <w:rPr>
          <w:rFonts w:ascii="Arial" w:hAnsi="Arial" w:cs="Arial"/>
          <w:color w:val="000000"/>
          <w:sz w:val="20"/>
          <w:szCs w:val="20"/>
        </w:rPr>
        <w:tab/>
        <w:t>Población</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Pr="00717582">
        <w:rPr>
          <w:rFonts w:ascii="Arial" w:hAnsi="Arial" w:cs="Arial"/>
          <w:color w:val="000000"/>
          <w:sz w:val="20"/>
          <w:szCs w:val="20"/>
        </w:rPr>
        <w:t>5</w:t>
      </w:r>
    </w:p>
    <w:p w14:paraId="0F681B75" w14:textId="476B281A"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3.3</w:t>
      </w:r>
      <w:r w:rsidR="00EB5EC3" w:rsidRPr="00717582">
        <w:rPr>
          <w:rFonts w:ascii="Arial" w:hAnsi="Arial" w:cs="Arial"/>
          <w:color w:val="000000"/>
          <w:sz w:val="20"/>
          <w:szCs w:val="20"/>
        </w:rPr>
        <w:tab/>
        <w:t>Definición operacional de variables</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Pr="00717582">
        <w:rPr>
          <w:rFonts w:ascii="Arial" w:hAnsi="Arial" w:cs="Arial"/>
          <w:color w:val="000000"/>
          <w:sz w:val="20"/>
          <w:szCs w:val="20"/>
        </w:rPr>
        <w:t>6-12</w:t>
      </w:r>
    </w:p>
    <w:p w14:paraId="27F1FEB1" w14:textId="4910C3F6"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3.4</w:t>
      </w:r>
      <w:r w:rsidR="00EB5EC3" w:rsidRPr="00717582">
        <w:rPr>
          <w:rFonts w:ascii="Arial" w:hAnsi="Arial" w:cs="Arial"/>
          <w:color w:val="000000"/>
          <w:sz w:val="20"/>
          <w:szCs w:val="20"/>
        </w:rPr>
        <w:t xml:space="preserve"> </w:t>
      </w:r>
      <w:r w:rsidR="00EB5EC3" w:rsidRPr="00717582">
        <w:rPr>
          <w:rFonts w:ascii="Arial" w:hAnsi="Arial" w:cs="Arial"/>
          <w:color w:val="000000"/>
          <w:sz w:val="20"/>
          <w:szCs w:val="20"/>
        </w:rPr>
        <w:tab/>
        <w:t>Procedimientos y técnicas de recolección de información</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6E4174" w:rsidRPr="00717582">
        <w:rPr>
          <w:rFonts w:ascii="Arial" w:hAnsi="Arial" w:cs="Arial"/>
          <w:color w:val="000000"/>
          <w:sz w:val="20"/>
          <w:szCs w:val="20"/>
        </w:rPr>
        <w:t xml:space="preserve">             </w:t>
      </w:r>
      <w:r w:rsidRPr="00717582">
        <w:rPr>
          <w:rFonts w:ascii="Arial" w:hAnsi="Arial" w:cs="Arial"/>
          <w:color w:val="000000"/>
          <w:sz w:val="20"/>
          <w:szCs w:val="20"/>
        </w:rPr>
        <w:t>13</w:t>
      </w:r>
    </w:p>
    <w:p w14:paraId="09C4A612" w14:textId="16EBBA5C"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3.5</w:t>
      </w:r>
      <w:r w:rsidR="00EB5EC3" w:rsidRPr="00717582">
        <w:rPr>
          <w:rFonts w:ascii="Arial" w:hAnsi="Arial" w:cs="Arial"/>
          <w:color w:val="000000"/>
          <w:sz w:val="20"/>
          <w:szCs w:val="20"/>
        </w:rPr>
        <w:tab/>
        <w:t>Plan de análisis</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Pr="00717582">
        <w:rPr>
          <w:rFonts w:ascii="Arial" w:hAnsi="Arial" w:cs="Arial"/>
          <w:color w:val="000000"/>
          <w:sz w:val="20"/>
          <w:szCs w:val="20"/>
        </w:rPr>
        <w:t>13</w:t>
      </w:r>
    </w:p>
    <w:p w14:paraId="5823A4E1" w14:textId="32A57C4F"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3.6</w:t>
      </w:r>
      <w:r w:rsidR="00EB5EC3" w:rsidRPr="00717582">
        <w:rPr>
          <w:rFonts w:ascii="Arial" w:hAnsi="Arial" w:cs="Arial"/>
          <w:color w:val="000000"/>
          <w:sz w:val="20"/>
          <w:szCs w:val="20"/>
        </w:rPr>
        <w:t xml:space="preserve"> </w:t>
      </w:r>
      <w:r w:rsidR="00EB5EC3" w:rsidRPr="00717582">
        <w:rPr>
          <w:rFonts w:ascii="Arial" w:hAnsi="Arial" w:cs="Arial"/>
          <w:color w:val="000000"/>
          <w:sz w:val="20"/>
          <w:szCs w:val="20"/>
        </w:rPr>
        <w:tab/>
        <w:t>Limitaciones y viabilidad</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6E4174" w:rsidRPr="00717582">
        <w:rPr>
          <w:rFonts w:ascii="Arial" w:hAnsi="Arial" w:cs="Arial"/>
          <w:color w:val="000000"/>
          <w:sz w:val="20"/>
          <w:szCs w:val="20"/>
        </w:rPr>
        <w:t xml:space="preserve">             </w:t>
      </w:r>
      <w:r w:rsidR="00EB5EC3" w:rsidRPr="00717582">
        <w:rPr>
          <w:rFonts w:ascii="Arial" w:hAnsi="Arial" w:cs="Arial"/>
          <w:color w:val="000000"/>
          <w:sz w:val="20"/>
          <w:szCs w:val="20"/>
        </w:rPr>
        <w:t>1</w:t>
      </w:r>
      <w:r w:rsidRPr="00717582">
        <w:rPr>
          <w:rFonts w:ascii="Arial" w:hAnsi="Arial" w:cs="Arial"/>
          <w:color w:val="000000"/>
          <w:sz w:val="20"/>
          <w:szCs w:val="20"/>
        </w:rPr>
        <w:t>3</w:t>
      </w:r>
    </w:p>
    <w:p w14:paraId="6A79293F" w14:textId="119CCCD8" w:rsidR="00EB5EC3" w:rsidRPr="00717582" w:rsidRDefault="00D70806"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3.7</w:t>
      </w:r>
      <w:r w:rsidR="00EB5EC3" w:rsidRPr="00717582">
        <w:rPr>
          <w:rFonts w:ascii="Arial" w:hAnsi="Arial" w:cs="Arial"/>
          <w:color w:val="000000"/>
          <w:sz w:val="20"/>
          <w:szCs w:val="20"/>
        </w:rPr>
        <w:t xml:space="preserve"> </w:t>
      </w:r>
      <w:r w:rsidR="00EB5EC3" w:rsidRPr="00717582">
        <w:rPr>
          <w:rFonts w:ascii="Arial" w:hAnsi="Arial" w:cs="Arial"/>
          <w:color w:val="000000"/>
          <w:sz w:val="20"/>
          <w:szCs w:val="20"/>
        </w:rPr>
        <w:tab/>
        <w:t>Aspectos éticos</w:t>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00EB5EC3" w:rsidRPr="00717582">
        <w:rPr>
          <w:rFonts w:ascii="Arial" w:hAnsi="Arial" w:cs="Arial"/>
          <w:color w:val="000000"/>
          <w:sz w:val="20"/>
          <w:szCs w:val="20"/>
        </w:rPr>
        <w:tab/>
      </w:r>
      <w:r w:rsidRPr="00717582">
        <w:rPr>
          <w:rFonts w:ascii="Arial" w:hAnsi="Arial" w:cs="Arial"/>
          <w:color w:val="000000"/>
          <w:sz w:val="20"/>
          <w:szCs w:val="20"/>
        </w:rPr>
        <w:t>13</w:t>
      </w:r>
    </w:p>
    <w:p w14:paraId="45304A1A" w14:textId="77777777" w:rsidR="00EB5EC3" w:rsidRPr="00717582" w:rsidRDefault="00EB5EC3" w:rsidP="00EB5EC3">
      <w:pPr>
        <w:autoSpaceDE w:val="0"/>
        <w:autoSpaceDN w:val="0"/>
        <w:adjustRightInd w:val="0"/>
        <w:jc w:val="both"/>
        <w:rPr>
          <w:rFonts w:ascii="Arial" w:hAnsi="Arial" w:cs="Arial"/>
          <w:color w:val="000000"/>
          <w:sz w:val="20"/>
          <w:szCs w:val="20"/>
        </w:rPr>
      </w:pPr>
    </w:p>
    <w:p w14:paraId="689796B8" w14:textId="72010668"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CAPITULO IV REFERENCIAS BIBLIOGRÁFICAS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D70806" w:rsidRPr="00717582">
        <w:rPr>
          <w:rFonts w:ascii="Arial" w:hAnsi="Arial" w:cs="Arial"/>
          <w:color w:val="000000"/>
          <w:sz w:val="20"/>
          <w:szCs w:val="20"/>
        </w:rPr>
        <w:t>14</w:t>
      </w:r>
    </w:p>
    <w:p w14:paraId="1A7DF16E" w14:textId="77777777" w:rsidR="00EB5EC3" w:rsidRPr="00717582" w:rsidRDefault="00EB5EC3" w:rsidP="00EB5EC3">
      <w:pPr>
        <w:autoSpaceDE w:val="0"/>
        <w:autoSpaceDN w:val="0"/>
        <w:adjustRightInd w:val="0"/>
        <w:jc w:val="both"/>
        <w:rPr>
          <w:rFonts w:ascii="Arial" w:hAnsi="Arial" w:cs="Arial"/>
          <w:color w:val="000000"/>
          <w:sz w:val="20"/>
          <w:szCs w:val="20"/>
        </w:rPr>
      </w:pPr>
    </w:p>
    <w:p w14:paraId="61473D6F" w14:textId="62995312" w:rsidR="00EB5EC3" w:rsidRPr="00717582"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CAPITULO V CRONOGRAMA</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500414" w:rsidRPr="00717582">
        <w:rPr>
          <w:rFonts w:ascii="Arial" w:hAnsi="Arial" w:cs="Arial"/>
          <w:color w:val="000000"/>
          <w:sz w:val="20"/>
          <w:szCs w:val="20"/>
        </w:rPr>
        <w:t xml:space="preserve">                                       </w:t>
      </w:r>
      <w:r w:rsidR="00D70806" w:rsidRPr="00717582">
        <w:rPr>
          <w:rFonts w:ascii="Arial" w:hAnsi="Arial" w:cs="Arial"/>
          <w:color w:val="000000"/>
          <w:sz w:val="20"/>
          <w:szCs w:val="20"/>
        </w:rPr>
        <w:t>16</w:t>
      </w:r>
      <w:r w:rsidRPr="00717582">
        <w:rPr>
          <w:rFonts w:ascii="Arial" w:hAnsi="Arial" w:cs="Arial"/>
          <w:color w:val="000000"/>
          <w:sz w:val="20"/>
          <w:szCs w:val="20"/>
        </w:rPr>
        <w:tab/>
      </w:r>
    </w:p>
    <w:p w14:paraId="050CBB59" w14:textId="4D9EC372" w:rsidR="00EB5EC3" w:rsidRPr="0057307E" w:rsidRDefault="00EB5EC3" w:rsidP="00EB5EC3">
      <w:pPr>
        <w:autoSpaceDE w:val="0"/>
        <w:autoSpaceDN w:val="0"/>
        <w:adjustRightInd w:val="0"/>
        <w:jc w:val="both"/>
        <w:rPr>
          <w:rFonts w:ascii="Arial" w:hAnsi="Arial" w:cs="Arial"/>
          <w:color w:val="000000"/>
          <w:sz w:val="20"/>
          <w:szCs w:val="20"/>
        </w:rPr>
      </w:pPr>
      <w:r w:rsidRPr="00717582">
        <w:rPr>
          <w:rFonts w:ascii="Arial" w:hAnsi="Arial" w:cs="Arial"/>
          <w:color w:val="000000"/>
          <w:sz w:val="20"/>
          <w:szCs w:val="20"/>
        </w:rPr>
        <w:t>CAPITULO VI ANEXOS</w:t>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Pr="00717582">
        <w:rPr>
          <w:rFonts w:ascii="Arial" w:hAnsi="Arial" w:cs="Arial"/>
          <w:color w:val="000000"/>
          <w:sz w:val="20"/>
          <w:szCs w:val="20"/>
        </w:rPr>
        <w:tab/>
      </w:r>
      <w:r w:rsidR="00500414" w:rsidRPr="00717582">
        <w:rPr>
          <w:rFonts w:ascii="Arial" w:hAnsi="Arial" w:cs="Arial"/>
          <w:color w:val="000000"/>
          <w:sz w:val="20"/>
          <w:szCs w:val="20"/>
        </w:rPr>
        <w:t xml:space="preserve">             </w:t>
      </w:r>
      <w:r w:rsidR="00D70806" w:rsidRPr="00717582">
        <w:rPr>
          <w:rFonts w:ascii="Arial" w:hAnsi="Arial" w:cs="Arial"/>
          <w:color w:val="000000"/>
          <w:sz w:val="20"/>
          <w:szCs w:val="20"/>
        </w:rPr>
        <w:t>16</w:t>
      </w:r>
    </w:p>
    <w:p w14:paraId="547BE7A6" w14:textId="77777777" w:rsidR="00EB5EC3" w:rsidRPr="0057307E" w:rsidRDefault="00EB5EC3" w:rsidP="00EB5EC3">
      <w:pPr>
        <w:rPr>
          <w:rFonts w:ascii="Arial" w:hAnsi="Arial" w:cs="Arial"/>
          <w:sz w:val="20"/>
          <w:szCs w:val="20"/>
          <w:lang w:val="es-PE"/>
        </w:rPr>
      </w:pPr>
    </w:p>
    <w:p w14:paraId="3072AC7D" w14:textId="77777777" w:rsidR="00EB5EC3" w:rsidRPr="0057307E" w:rsidRDefault="00EB5EC3" w:rsidP="00EB5EC3">
      <w:pPr>
        <w:rPr>
          <w:rFonts w:ascii="Arial" w:hAnsi="Arial" w:cs="Arial"/>
          <w:sz w:val="20"/>
          <w:szCs w:val="20"/>
          <w:lang w:val="es-PE"/>
        </w:rPr>
      </w:pPr>
    </w:p>
    <w:p w14:paraId="3A500171" w14:textId="77777777" w:rsidR="00EB5EC3" w:rsidRPr="0057307E" w:rsidRDefault="00EB5EC3" w:rsidP="00EB5EC3">
      <w:pPr>
        <w:rPr>
          <w:rFonts w:ascii="Arial" w:hAnsi="Arial" w:cs="Arial"/>
          <w:sz w:val="20"/>
          <w:szCs w:val="20"/>
          <w:lang w:val="es-PE"/>
        </w:rPr>
      </w:pPr>
    </w:p>
    <w:p w14:paraId="2A541136" w14:textId="77777777" w:rsidR="00EB5EC3" w:rsidRPr="0057307E" w:rsidRDefault="00EB5EC3" w:rsidP="00EB5EC3">
      <w:pPr>
        <w:rPr>
          <w:rFonts w:ascii="Arial" w:hAnsi="Arial" w:cs="Arial"/>
          <w:sz w:val="20"/>
          <w:szCs w:val="20"/>
          <w:lang w:val="es-PE"/>
        </w:rPr>
      </w:pPr>
    </w:p>
    <w:p w14:paraId="76251131" w14:textId="77777777" w:rsidR="00B97A6B" w:rsidRDefault="00B97A6B"/>
    <w:p w14:paraId="07117712" w14:textId="77777777" w:rsidR="002A1358" w:rsidRDefault="002A1358"/>
    <w:p w14:paraId="4411A12A" w14:textId="77777777" w:rsidR="002A1358" w:rsidRDefault="002A1358"/>
    <w:p w14:paraId="7360A7DD" w14:textId="77777777" w:rsidR="002A1358" w:rsidRDefault="002A1358"/>
    <w:p w14:paraId="5E14C0CB" w14:textId="77777777" w:rsidR="002A1358" w:rsidRDefault="002A1358"/>
    <w:p w14:paraId="5D352128" w14:textId="77777777" w:rsidR="002A1358" w:rsidRDefault="002A1358"/>
    <w:p w14:paraId="5A45ED92" w14:textId="77777777" w:rsidR="002A1358" w:rsidRDefault="002A1358"/>
    <w:p w14:paraId="47B7E569" w14:textId="77777777" w:rsidR="002A1358" w:rsidRDefault="002A1358"/>
    <w:p w14:paraId="74E8D225" w14:textId="77777777" w:rsidR="002A1358" w:rsidRDefault="002A1358"/>
    <w:p w14:paraId="22D2CFF4" w14:textId="77777777" w:rsidR="002A1358" w:rsidRDefault="002A1358"/>
    <w:p w14:paraId="128DDE21" w14:textId="77777777" w:rsidR="00D70806" w:rsidRDefault="00D70806"/>
    <w:p w14:paraId="678F63BD" w14:textId="77777777" w:rsidR="00D70806" w:rsidRDefault="00D70806"/>
    <w:p w14:paraId="0C807685" w14:textId="77777777" w:rsidR="002A1358" w:rsidRDefault="002A1358"/>
    <w:p w14:paraId="374F8C9B" w14:textId="77777777" w:rsidR="002A1358" w:rsidRDefault="002A1358"/>
    <w:p w14:paraId="01D1EA4F" w14:textId="77777777" w:rsidR="002A1358" w:rsidRDefault="002A1358"/>
    <w:p w14:paraId="6D167D90" w14:textId="77777777" w:rsidR="002A1358" w:rsidRDefault="002A1358"/>
    <w:p w14:paraId="12DBE53E" w14:textId="77777777" w:rsidR="002A1358" w:rsidRDefault="002A1358"/>
    <w:p w14:paraId="18F64388" w14:textId="77777777" w:rsidR="002A1358" w:rsidRDefault="002A1358"/>
    <w:p w14:paraId="7A3BB420" w14:textId="77777777" w:rsidR="008B513E" w:rsidRDefault="008B513E" w:rsidP="004216BD"/>
    <w:p w14:paraId="0D3CEC7C" w14:textId="0C795912" w:rsidR="004164DA" w:rsidRDefault="004164DA" w:rsidP="004216BD">
      <w:pPr>
        <w:rPr>
          <w:rFonts w:ascii="Arial" w:hAnsi="Arial" w:cs="Arial"/>
          <w:b/>
          <w:color w:val="000000"/>
          <w:sz w:val="20"/>
          <w:szCs w:val="20"/>
        </w:rPr>
      </w:pPr>
      <w:r w:rsidRPr="004164DA">
        <w:rPr>
          <w:rFonts w:ascii="Arial" w:hAnsi="Arial" w:cs="Arial"/>
          <w:b/>
          <w:color w:val="000000"/>
          <w:sz w:val="20"/>
          <w:szCs w:val="20"/>
        </w:rPr>
        <w:lastRenderedPageBreak/>
        <w:t>CAPITULO I:  INTRODUCCION</w:t>
      </w:r>
    </w:p>
    <w:p w14:paraId="6DDBAACC" w14:textId="77777777" w:rsidR="00696B1D" w:rsidRDefault="00696B1D" w:rsidP="004216BD">
      <w:pPr>
        <w:rPr>
          <w:rFonts w:ascii="Arial" w:hAnsi="Arial" w:cs="Arial"/>
          <w:b/>
          <w:color w:val="000000"/>
          <w:sz w:val="20"/>
          <w:szCs w:val="20"/>
        </w:rPr>
      </w:pPr>
    </w:p>
    <w:p w14:paraId="1F344A0D" w14:textId="4B5AEB1E" w:rsidR="00696B1D" w:rsidRPr="004164DA" w:rsidRDefault="00572AC7" w:rsidP="004216BD">
      <w:pPr>
        <w:rPr>
          <w:b/>
        </w:rPr>
      </w:pPr>
      <w:r>
        <w:rPr>
          <w:rFonts w:ascii="Arial" w:hAnsi="Arial" w:cs="Arial"/>
          <w:b/>
          <w:color w:val="000000"/>
          <w:sz w:val="20"/>
          <w:szCs w:val="20"/>
        </w:rPr>
        <w:t>1.1 Marco teórico</w:t>
      </w:r>
    </w:p>
    <w:p w14:paraId="7548F90E" w14:textId="77777777" w:rsidR="004164DA" w:rsidRDefault="004164DA" w:rsidP="004216BD"/>
    <w:p w14:paraId="128D1C28" w14:textId="60C698BA" w:rsidR="00572AC7" w:rsidRDefault="00696B1D" w:rsidP="00572AC7">
      <w:pPr>
        <w:jc w:val="both"/>
        <w:rPr>
          <w:rFonts w:ascii="Arial" w:hAnsi="Arial" w:cs="Arial"/>
          <w:sz w:val="20"/>
          <w:szCs w:val="20"/>
        </w:rPr>
      </w:pPr>
      <w:r>
        <w:rPr>
          <w:rFonts w:ascii="Arial" w:hAnsi="Arial" w:cs="Arial"/>
          <w:sz w:val="20"/>
          <w:szCs w:val="20"/>
        </w:rPr>
        <w:t>La</w:t>
      </w:r>
      <w:r w:rsidRPr="0057307E">
        <w:rPr>
          <w:rFonts w:ascii="Arial" w:hAnsi="Arial" w:cs="Arial"/>
          <w:sz w:val="20"/>
          <w:szCs w:val="20"/>
        </w:rPr>
        <w:t xml:space="preserve"> </w:t>
      </w:r>
      <w:r w:rsidRPr="00ED5985">
        <w:rPr>
          <w:rFonts w:ascii="Arial" w:hAnsi="Arial" w:cs="Arial"/>
          <w:sz w:val="20"/>
          <w:szCs w:val="20"/>
        </w:rPr>
        <w:t xml:space="preserve">Leucemia/Linfoma </w:t>
      </w:r>
      <w:r w:rsidR="003F3BBB">
        <w:rPr>
          <w:rFonts w:ascii="Arial" w:hAnsi="Arial" w:cs="Arial"/>
          <w:sz w:val="20"/>
          <w:szCs w:val="20"/>
        </w:rPr>
        <w:t xml:space="preserve">de </w:t>
      </w:r>
      <w:proofErr w:type="spellStart"/>
      <w:r w:rsidR="003F3BBB">
        <w:rPr>
          <w:rFonts w:ascii="Arial" w:hAnsi="Arial" w:cs="Arial"/>
          <w:sz w:val="20"/>
          <w:szCs w:val="20"/>
        </w:rPr>
        <w:t>céulas</w:t>
      </w:r>
      <w:proofErr w:type="spellEnd"/>
      <w:r w:rsidR="003F3BBB">
        <w:rPr>
          <w:rFonts w:ascii="Arial" w:hAnsi="Arial" w:cs="Arial"/>
          <w:sz w:val="20"/>
          <w:szCs w:val="20"/>
        </w:rPr>
        <w:t xml:space="preserve"> </w:t>
      </w:r>
      <w:r w:rsidRPr="00ED5985">
        <w:rPr>
          <w:rFonts w:ascii="Arial" w:hAnsi="Arial" w:cs="Arial"/>
          <w:sz w:val="20"/>
          <w:szCs w:val="20"/>
        </w:rPr>
        <w:t xml:space="preserve">T </w:t>
      </w:r>
      <w:r>
        <w:rPr>
          <w:rFonts w:ascii="Arial" w:hAnsi="Arial" w:cs="Arial"/>
          <w:sz w:val="20"/>
          <w:szCs w:val="20"/>
        </w:rPr>
        <w:t>d</w:t>
      </w:r>
      <w:r w:rsidRPr="00ED5985">
        <w:rPr>
          <w:rFonts w:ascii="Arial" w:hAnsi="Arial" w:cs="Arial"/>
          <w:sz w:val="20"/>
          <w:szCs w:val="20"/>
        </w:rPr>
        <w:t xml:space="preserve">el Adulto </w:t>
      </w:r>
      <w:r w:rsidRPr="005C14E8">
        <w:rPr>
          <w:rFonts w:ascii="Arial" w:hAnsi="Arial" w:cs="Arial"/>
          <w:sz w:val="20"/>
          <w:szCs w:val="20"/>
        </w:rPr>
        <w:t>(</w:t>
      </w:r>
      <w:r>
        <w:rPr>
          <w:rFonts w:ascii="Arial" w:hAnsi="Arial" w:cs="Arial"/>
          <w:sz w:val="20"/>
          <w:szCs w:val="20"/>
        </w:rPr>
        <w:t>ATLL)</w:t>
      </w:r>
      <w:r w:rsidRPr="005C14E8">
        <w:rPr>
          <w:rFonts w:ascii="Arial" w:hAnsi="Arial" w:cs="Arial"/>
          <w:sz w:val="20"/>
          <w:szCs w:val="20"/>
        </w:rPr>
        <w:t xml:space="preserve"> </w:t>
      </w:r>
      <w:r>
        <w:rPr>
          <w:rFonts w:ascii="Arial" w:hAnsi="Arial" w:cs="Arial"/>
          <w:sz w:val="20"/>
          <w:szCs w:val="20"/>
        </w:rPr>
        <w:t xml:space="preserve">es </w:t>
      </w:r>
      <w:r w:rsidRPr="005C14E8">
        <w:rPr>
          <w:rFonts w:ascii="Arial" w:hAnsi="Arial" w:cs="Arial"/>
          <w:sz w:val="20"/>
          <w:szCs w:val="20"/>
        </w:rPr>
        <w:t xml:space="preserve">una </w:t>
      </w:r>
      <w:r w:rsidR="00572AC7">
        <w:rPr>
          <w:rFonts w:ascii="Arial" w:hAnsi="Arial" w:cs="Arial"/>
          <w:sz w:val="20"/>
          <w:szCs w:val="20"/>
        </w:rPr>
        <w:t>neoplasia</w:t>
      </w:r>
      <w:r w:rsidRPr="00487A63">
        <w:rPr>
          <w:rFonts w:ascii="Arial" w:hAnsi="Arial" w:cs="Arial"/>
          <w:sz w:val="20"/>
          <w:szCs w:val="20"/>
        </w:rPr>
        <w:t xml:space="preserve"> asociada al HTLV-1</w:t>
      </w:r>
      <w:r>
        <w:rPr>
          <w:rFonts w:ascii="Arial" w:hAnsi="Arial" w:cs="Arial"/>
          <w:sz w:val="20"/>
          <w:szCs w:val="20"/>
        </w:rPr>
        <w:t xml:space="preserve"> (virus </w:t>
      </w:r>
      <w:proofErr w:type="spellStart"/>
      <w:r>
        <w:rPr>
          <w:rFonts w:ascii="Arial" w:hAnsi="Arial" w:cs="Arial"/>
          <w:sz w:val="20"/>
          <w:szCs w:val="20"/>
        </w:rPr>
        <w:t>linfotrópico</w:t>
      </w:r>
      <w:proofErr w:type="spellEnd"/>
      <w:r>
        <w:rPr>
          <w:rFonts w:ascii="Arial" w:hAnsi="Arial" w:cs="Arial"/>
          <w:sz w:val="20"/>
          <w:szCs w:val="20"/>
        </w:rPr>
        <w:t xml:space="preserve"> humano de células T – 1)</w:t>
      </w:r>
      <w:r w:rsidR="00572AC7">
        <w:rPr>
          <w:rFonts w:ascii="Arial" w:hAnsi="Arial" w:cs="Arial"/>
          <w:sz w:val="20"/>
          <w:szCs w:val="20"/>
        </w:rPr>
        <w:t>.</w:t>
      </w:r>
      <w:r w:rsidR="00572AC7">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"10.1007/s00277-020-03967-x", "ISSN" : "0939-5555", "author" : [ { "dropping-particle" : "", "family" : "Takeuchi", "given" : "Mai", "non-dropping-particle" : "", "parse-names" : false, "suffix" : "" }, { "dropping-particle" : "", "family" : "Miyoshi", "given" : "Hiroaki", "non-dropping-particle" : "", "parse-names" : false, "suffix" : "" }, { "dropping-particle" : "", "family" : "Nakashima", "given" : "Kazutaka", "non-dropping-particle" : "", "parse-names" : false, "suffix" : "" }, { "dropping-particle" : "", "family" : "Kawamoto", "given" : "Keisuke", "non-dropping-particle" : "", "parse-names" : false, "suffix" : "" }, { "dropping-particle" : "", "family" : "Yamada", "given" : "Kyohei", "non-dropping-particle" : "", "parse-names" : false, "suffix" : "" }, { "dropping-particle" : "", "family" : "Yanagida", "given" : "Eriko", "non-dropping-particle" : "", "parse-names" : false, "suffix" : "" }, { "dropping-particle" : "", "family" : "Muta", "given" : "Hiroko", "non-dropping-particle" : "", "parse-names" : false, "suffix" : "" }, { "dropping-particle" : "", "family" : "Moritsubo", "given" : "Mayuko", "non-dropping-particle" : "", "parse-names" : false, "suffix" : "" }, { "dropping-particle" : "", "family" : "Umeno", "given" : "Takeshi", "non-dropping-particle" : "", "parse-names" : false, "suffix" : "" }, { "dropping-particle" : "", "family" : "Suzuki", "given" : "Takaharu", "non-dropping-particle" : "", "parse-names" : false, "suffix" : "" }, { "dropping-particle" : "", "family" : "Seto", "given" : "Masao", "non-dropping-particle" : "", "parse-names" : false, "suffix" : "" }, { "dropping-particle" : "", "family" : "Ohshima", "given" : "Koichi", "non-dropping-particle" : "", "parse-names" : false, "suffix" : "" } ], "container-title" : "Annals of Hematology", "id" : "ITEM-1", "issue" : "52", "issued" : { "date-parts" : [ [ "2020" ] ] }, "page" : "368-369", "publisher" : "Annals of Hematology", "title" : "Comprehensive immunohistochemical analysis of immune checkpoint molecules in adult T cell leukemia/lymphoma", "type" : "article-journal", "volume" : "37" }, "uris" : [ "http://www.mendeley.com/documents/?uuid=53bf9682-6a0a-4806-825f-700190218810", "http://www.mendeley.com/documents/?uuid=78d0675e-11aa-412e-ae9b-00ce5a4dfdaf" ] } ], "mendeley" : { "formattedCitation" : "(1)", "plainTextFormattedCitation" : "(1)", "previouslyFormattedCitation" : "(1)" }, "properties" : {  }, "schema" : "https://github.com/citation-style-language/schema/raw/master/csl-citation.json" }</w:instrText>
      </w:r>
      <w:r w:rsidR="00572AC7">
        <w:rPr>
          <w:rFonts w:ascii="Arial" w:hAnsi="Arial" w:cs="Arial"/>
          <w:sz w:val="20"/>
          <w:szCs w:val="20"/>
        </w:rPr>
        <w:fldChar w:fldCharType="separate"/>
      </w:r>
      <w:r w:rsidR="00572AC7" w:rsidRPr="00B60800">
        <w:rPr>
          <w:rFonts w:ascii="Arial" w:hAnsi="Arial" w:cs="Arial"/>
          <w:noProof/>
          <w:sz w:val="20"/>
          <w:szCs w:val="20"/>
        </w:rPr>
        <w:t>(1)</w:t>
      </w:r>
      <w:r w:rsidR="00572AC7">
        <w:rPr>
          <w:rFonts w:ascii="Arial" w:hAnsi="Arial" w:cs="Arial"/>
          <w:sz w:val="20"/>
          <w:szCs w:val="20"/>
        </w:rPr>
        <w:fldChar w:fldCharType="end"/>
      </w:r>
      <w:r w:rsidR="00572AC7">
        <w:rPr>
          <w:rFonts w:ascii="Arial" w:hAnsi="Arial" w:cs="Arial"/>
          <w:sz w:val="20"/>
          <w:szCs w:val="20"/>
        </w:rPr>
        <w:t xml:space="preserve"> Esta entidad se</w:t>
      </w:r>
      <w:r>
        <w:rPr>
          <w:rFonts w:ascii="Arial" w:hAnsi="Arial" w:cs="Arial"/>
          <w:sz w:val="20"/>
          <w:szCs w:val="20"/>
        </w:rPr>
        <w:t xml:space="preserve"> origina de células T inmortalizadas por la infección viral durante la infancia temprana, </w:t>
      </w:r>
      <w:r w:rsidR="00572AC7">
        <w:rPr>
          <w:rFonts w:ascii="Arial" w:hAnsi="Arial" w:cs="Arial"/>
          <w:sz w:val="20"/>
          <w:szCs w:val="20"/>
        </w:rPr>
        <w:t xml:space="preserve">considerándose </w:t>
      </w:r>
      <w:r>
        <w:rPr>
          <w:rFonts w:ascii="Arial" w:hAnsi="Arial" w:cs="Arial"/>
          <w:sz w:val="20"/>
          <w:szCs w:val="20"/>
        </w:rPr>
        <w:t xml:space="preserve">que el periodo de latencia hasta </w:t>
      </w:r>
      <w:r w:rsidR="00572AC7">
        <w:rPr>
          <w:rFonts w:ascii="Arial" w:hAnsi="Arial" w:cs="Arial"/>
          <w:sz w:val="20"/>
          <w:szCs w:val="20"/>
        </w:rPr>
        <w:t>su</w:t>
      </w:r>
      <w:r>
        <w:rPr>
          <w:rFonts w:ascii="Arial" w:hAnsi="Arial" w:cs="Arial"/>
          <w:sz w:val="20"/>
          <w:szCs w:val="20"/>
        </w:rPr>
        <w:t xml:space="preserve"> desarrollo es de aproximadamente 30 a 50 años, por </w:t>
      </w:r>
      <w:r w:rsidR="00572AC7">
        <w:rPr>
          <w:rFonts w:ascii="Arial" w:hAnsi="Arial" w:cs="Arial"/>
          <w:sz w:val="20"/>
          <w:szCs w:val="20"/>
        </w:rPr>
        <w:t>lo que se encuentran implicados</w:t>
      </w:r>
      <w:r>
        <w:rPr>
          <w:rFonts w:ascii="Arial" w:hAnsi="Arial" w:cs="Arial"/>
          <w:sz w:val="20"/>
          <w:szCs w:val="20"/>
        </w:rPr>
        <w:t xml:space="preserve"> </w:t>
      </w:r>
      <w:r w:rsidR="00572AC7">
        <w:rPr>
          <w:rFonts w:ascii="Arial" w:hAnsi="Arial" w:cs="Arial"/>
          <w:sz w:val="20"/>
          <w:szCs w:val="20"/>
        </w:rPr>
        <w:t>diversos</w:t>
      </w:r>
      <w:r>
        <w:rPr>
          <w:rFonts w:ascii="Arial" w:hAnsi="Arial" w:cs="Arial"/>
          <w:sz w:val="20"/>
          <w:szCs w:val="20"/>
        </w:rPr>
        <w:t xml:space="preserve"> factores genéticos </w:t>
      </w:r>
      <w:r w:rsidR="00572AC7">
        <w:rPr>
          <w:rFonts w:ascii="Arial" w:hAnsi="Arial" w:cs="Arial"/>
          <w:sz w:val="20"/>
          <w:szCs w:val="20"/>
        </w:rPr>
        <w:t>los cuales conforman un proceso y que explican su patogénesis.</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"10.1182/blood-2015-06-644948", "ISSN" : "1528-0020", "abstract" : "Adult T-cell leukemia/lymphoma (ATLL) is a distinct form of peripheral T-cell lymphoma with poor prognosis, which is caused by the human T-lymphotropic virus type 1 (HTLV-1). In contrast to the unequivocal importance of HTLV-1 infection in the pathogenesis of ATLL, the role of acquired mutations in HTLV-1 infected T cells has not been fully elucidated, with a handful of genes known to be recurrently mutated. In this study, we identified unique RHOA mutations in ATLL through whole genome sequencing of an index case, followed by deep sequencing of 203 ATLL samples. RHOA mutations showed distinct distribution and function from those found in other cancers. Involving 15% (30/203) of ATLL cases, RHOA mutations were widely distributed across the entire coding sequence but almost invariably located at the guanosine triphosphate (GTP)-binding pocket, with Cys16Arg being most frequently observed. Unexpectedly, depending on mutation types and positions, these RHOA mutants showed different or even opposite functional consequences in terms of GTP/guanosine diphosphate (GDP)-binding kinetics, regulation of actin fibers, and transcriptional activation. The Gly17Val mutant did not bind GTP/GDP and act as a dominant negative molecule, whereas other mutants (Cys16Arg and Ala161Pro) showed fast GTP/GDP cycling with enhanced transcriptional activation. These findings suggest that both loss- and gain-of-RHOA functions could be involved in ATLL leukemogenesis. In summary, our study not only provides a novel insight into the molecular pathogenesis of ATLL but also highlights a unique role of variegation of heterologous RHOA mutations in human cancers.", "author" : [ { "dropping-particle" : "", "family" : "Nagata", "given" : "Yasunobu", "non-dropping-particle" : "", "parse-names" : false, "suffix" : "" }, { "dropping-particle" : "", "family" : "Kontani", "given" : "Kenji", "non-dropping-particle" : "", "parse-names" : false, "suffix" : "" }, { "dropping-particle" : "", "family" : "Enami", "given" : "Terukazu", "non-dropping-particle" : "", "parse-names" : false, "suffix" : "" }, { "dropping-particle" : "", "family" : "Kataoka", "given" : "Keisuke", "non-dropping-particle" : "", "parse-names" : false, "suffix" : "" }, { "dropping-particle" : "", "family" : "Ishii", "given" : "Ryohei", "non-dropping-particle" : "", "parse-names" : false, "suffix" : "" }, { "dropping-particle" : "", "family" : "Totoki", "given" : "Yasushi", "non-dropping-particle" : "", "parse-names" : false, "suffix" : "" }, { "dropping-particle" : "", "family" : "Kataoka", "given" : "Tatsuki R", "non-dropping-particle" : "", "parse-names" : false, "suffix" : "" }, { "dropping-particle" : "", "family" : "Hirata", "given" : "Masahiro", "non-dropping-particle" : "", "parse-names" : false, "suffix" : "" }, { "dropping-particle" : "", "family" : "Aoki", "given" : "Kazuhiro", "non-dropping-particle" : "", "parse-names" : false, "suffix" : "" }, { "dropping-particle" : "", "family" : "Nakano", "given" : "Kazumi", "non-dropping-particle" : "", "parse-names" : false, "suffix" : "" }, { "dropping-particle" : "", "family" : "Kitanaka", "given" : "Akira", "non-dropping-particle" : "", "parse-names" : false, "suffix" : "" }, { "dropping-particle" : "", "family" : "Sakata-Yanagimoto", "given" : "Mamiko", "non-dropping-particle" : "", "parse-names" : false, "suffix" : "" }, { "dropping-particle" : "", "family" : "Egami", "given" : "Sachiko", "non-dropping-particle" : "", "parse-names" : false, "suffix" : "" }, { "dropping-particle" : "", "family" : "Shiraishi", "given" : "Yuichi", "non-dropping-particle" : "", "parse-names" : false, "suffix" : "" }, { "dropping-particle" : "", "family" : "Chiba", "given" : "Kenichi", "non-dropping-particle" : "", "parse-names" : false, "suffix" : "" }, { "dropping-particle" : "", "family" : "Tanaka", "given" : "Hiroko", "non-dropping-particle" : "", "parse-names" : false, "suffix" : "" }, { "dropping-particle" : "", "family" : "Shiozawa", "given" : "Yusuke", "non-dropping-particle" : "", "parse-names" : false, "suffix" : "" }, { "dropping-particle" : "", "family" : "Yoshizato", "given" : "Tetsuichi", "non-dropping-particle" : "", "parse-names" : false, "suffix" : "" }, { "dropping-particle" : "", "family" : "Suzuki", "given" : "Hiromichi", "non-dropping-particle" : "", "parse-names" : false, "suffix" : "" }, { "dropping-particle" : "", "family" : "Kon", "given" : "Ayana", "non-dropping-particle" : "", "parse-names" : false, "suffix" : "" }, { "dropping-particle" : "", "family" : "Yoshida", "given" : "Kenichi", "non-dropping-particle" : "", "parse-names" : false, "suffix" : "" }, { "dropping-particle" : "", "family" : "Sato", "given" : "Yusuke", "non-dropping-particle" : "", "parse-names" : false, "suffix" : "" }, { "dropping-particle" : "", "family" : "Sato-Otsubo", "given" : "Aiko", "non-dropping-particle" : "", "parse-names" : false, "suffix" : "" }, { "dropping-particle" : "", "family" : "Sanada", "given" : "Masashi", "non-dropping-particle" : "", "parse-names" : false, "suffix" : "" }, { "dropping-particle" : "", "family" : "Munakata", "given" : "Wataru", "non-dropping-particle" : "", "parse-names" : false, "suffix" : "" }, { "dropping-particle" : "", "family" : "Nakamura", "given" : "Hiromi", "non-dropping-particle" : "", "parse-names" : false, "suffix" : "" }, { "dropping-particle" : "", "family" : "Hama", "given" : "Natsuko", "non-dropping-particle" : "", "parse-names" : false, "suffix" : "" }, { "dropping-particle" : "", "family" : "Miyano", "given" : "Satoru", "non-dropping-particle" : "", "parse-names" : false, "suffix" : "" }, { "dropping-particle" : "", "family" : "Nureki", "given" : "Osamu", "non-dropping-particle" : "", "parse-names" : false, "suffix" : "" }, { "dropping-particle" : "", "family" : "Shibata", "given" : "Tatsuhiro", "non-dropping-particle" : "", "parse-names" : false, "suffix" : "" }, { "dropping-particle" : "", "family" : "Haga", "given" : "Hironori", "non-dropping-particle" : "", "parse-names" : false, "suffix" : "" }, { "dropping-particle" : "", "family" : "Shimoda", "given" : "Kazuya", "non-dropping-particle" : "", "parse-names" : false, "suffix" : "" }, { "dropping-particle" : "", "family" : "Katada", "given" : "Toshiaki", "non-dropping-particle" : "", "parse-names" : false, "suffix" : "" }, { "dropping-particle" : "", "family" : "Chiba", "given" : "Shigeru", "non-dropping-particle" : "", "parse-names" : false, "suffix" : "" }, { "dropping-particle" : "", "family" : "Watanabe", "given" : "Toshiki", "non-dropping-particle" : "", "parse-names" : false, "suffix" : "" }, { "dropping-particle" : "", "family" : "Ogawa", "given" : "Seishi", "non-dropping-particle" : "", "parse-names" : false, "suffix" : "" } ], "container-title" : "Blood", "edition" : "2015/11/16", "id" : "ITEM-1", "issue" : "5", "issued" : { "date-parts" : [ [ "2016", "2" ] ] }, "language" : "eng", "page" : "596-604", "publisher" : "American Society of Hematology", "title" : "Variegated RHOA mutations in adult T-cell leukemia/lymphoma", "type" : "article-journal", "volume" : "127" }, "uris" : [ "http://www.mendeley.com/documents/?uuid=07ec468d-a641-407b-b097-6e91d0594544", "http://www.mendeley.com/documents/?uuid=8930d20a-835e-4df0-a7a1-da507f9e26a1" ] } ], "mendeley" : { "formattedCitation" : "(2)", "plainTextFormattedCitation" : "(2)", "previouslyFormattedCitation" : "(2)" }, "properties" : {  }, "schema" : "https://github.com/citation-style-language/schema/raw/master/csl-citation.json" }</w:instrText>
      </w:r>
      <w:r>
        <w:rPr>
          <w:rFonts w:ascii="Arial" w:hAnsi="Arial" w:cs="Arial"/>
          <w:sz w:val="20"/>
          <w:szCs w:val="20"/>
        </w:rPr>
        <w:fldChar w:fldCharType="separate"/>
      </w:r>
      <w:r w:rsidRPr="009E4DB6">
        <w:rPr>
          <w:rFonts w:ascii="Arial" w:hAnsi="Arial" w:cs="Arial"/>
          <w:noProof/>
          <w:sz w:val="20"/>
          <w:szCs w:val="20"/>
        </w:rPr>
        <w:t>(2)</w:t>
      </w:r>
      <w:r>
        <w:rPr>
          <w:rFonts w:ascii="Arial" w:hAnsi="Arial" w:cs="Arial"/>
          <w:sz w:val="20"/>
          <w:szCs w:val="20"/>
        </w:rPr>
        <w:fldChar w:fldCharType="end"/>
      </w:r>
      <w:r>
        <w:rPr>
          <w:rFonts w:ascii="Arial" w:hAnsi="Arial" w:cs="Arial"/>
          <w:sz w:val="20"/>
          <w:szCs w:val="20"/>
        </w:rPr>
        <w:t xml:space="preserve"> </w:t>
      </w:r>
    </w:p>
    <w:p w14:paraId="5ADFF735" w14:textId="77777777" w:rsidR="00572AC7" w:rsidRDefault="00572AC7" w:rsidP="00572AC7">
      <w:pPr>
        <w:jc w:val="both"/>
        <w:rPr>
          <w:rFonts w:ascii="Arial" w:hAnsi="Arial" w:cs="Arial"/>
          <w:sz w:val="20"/>
          <w:szCs w:val="20"/>
        </w:rPr>
      </w:pPr>
    </w:p>
    <w:p w14:paraId="234AFCB8" w14:textId="2FF18666" w:rsidR="00696B1D" w:rsidRDefault="00696B1D" w:rsidP="00572AC7">
      <w:pPr>
        <w:jc w:val="both"/>
        <w:rPr>
          <w:rFonts w:ascii="Arial" w:hAnsi="Arial" w:cs="Arial"/>
          <w:sz w:val="20"/>
          <w:szCs w:val="20"/>
        </w:rPr>
      </w:pPr>
      <w:r>
        <w:rPr>
          <w:rFonts w:ascii="Arial" w:hAnsi="Arial" w:cs="Arial"/>
          <w:sz w:val="20"/>
          <w:szCs w:val="20"/>
        </w:rPr>
        <w:t>Su distribución geográfica se circunscribe predomin</w:t>
      </w:r>
      <w:r w:rsidR="00572AC7">
        <w:rPr>
          <w:rFonts w:ascii="Arial" w:hAnsi="Arial" w:cs="Arial"/>
          <w:sz w:val="20"/>
          <w:szCs w:val="20"/>
        </w:rPr>
        <w:t>antemente al sudoeste de Japón,</w:t>
      </w:r>
      <w:r>
        <w:rPr>
          <w:rFonts w:ascii="Arial" w:hAnsi="Arial" w:cs="Arial"/>
          <w:sz w:val="20"/>
          <w:szCs w:val="20"/>
        </w:rPr>
        <w:t xml:space="preserve"> regiones en Sudamérica, incluyendo </w:t>
      </w:r>
      <w:r w:rsidR="005D65B7">
        <w:rPr>
          <w:rFonts w:ascii="Arial" w:hAnsi="Arial" w:cs="Arial"/>
          <w:sz w:val="20"/>
          <w:szCs w:val="20"/>
        </w:rPr>
        <w:t xml:space="preserve"> Perú </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"10.1016/j.leukres.2010.08.006", "ISSN" : "01452126", "abstract" : "Introduction: Adult T-cell leukemia/lymphoma (ATLL) is a clinically aggressive and heterogeneous entity; hence it is likely that different variants of ATLL have different prognostic factors. Methods: 95 patients with ATLL seen at our institution between 1987 and 2008 were included. Clinical data were compared, according to ATLL variant, using the Mann-Whitney and the Chi-square tests for continuous and categorical variables, respectively. Kaplan-Meier estimates compared using the log-rank test and Cox proportional-hazard test were used for the univariate and multivariate analysis, respectively. Results: Median age was 61 years with male-to-female ratio of 1.07:1. Patients with acute ATLL were more likely to present with bone marrow, liver and spleen involvement, higher \u03b22-microglobulin and lower albumin levels. Poor performance status, high IPI score, presence of B symptoms, high LDH and low albumin levels were associated with a worse survival in lymphomatous ATLL. High LDH, high \u03b22-microglobulin and high PIT score were associated with worse survival in acute ATLL. In the multivariate analysis, low albumin level and presence of B symptoms were independent factors for worse survival in lymphomatous ATLL, and high \u03b22-microglobulin level was independent factor for worse survival in acute ATLL. Conclusions: Aggressive ATLL variants have a distinct, almost mutually exclusive profile of prognostic factors. \u00a9 2010 Elsevier Ltd.", "author" : [ { "dropping-particle" : "", "family" : "Beltran", "given" : "Brady", "non-dropping-particle" : "", "parse-names" : false, "suffix" : "" }, { "dropping-particle" : "", "family" : "Qui\u00f1ones", "given" : "Pilar", "non-dropping-particle" : "", "parse-names" : false, "suffix" : "" }, { "dropping-particle" : "", "family" : "Morales", "given" : "Domingo", "non-dropping-particle" : "", "parse-names" : false, "suffix" : "" }, { "dropping-particle" : "", "family" : "Cotrina", "given" : "Esther", "non-dropping-particle" : "", "parse-names" : false, "suffix" : "" }, { "dropping-particle" : "", "family" : "Castillo", "given" : "Jorge J.", "non-dropping-particle" : "", "parse-names" : false, "suffix" : "" } ], "container-title" : "Leukemia Research", "id" : "ITEM-1", "issue" : "3", "issued" : { "date-parts" : [ [ "2011" ] ] }, "page" : "334-339", "title" : "Different prognostic factors for survival in acute and lymphomatous adult T-cell leukemia/lymphoma", "type" : "article-journal", "volume" : "35" }, "uris" : [ "http://www.mendeley.com/documents/?uuid=e60302cf-b9c1-417b-a426-a6c3f406d2bb" ] } ], "mendeley" : { "formattedCitation" : "(3)", "plainTextFormattedCitation" : "(3)", "previouslyFormattedCitation" : "(3)" }, "properties" : {  }, "schema" : "https://github.com/citation-style-language/schema/raw/master/csl-citation.json" }</w:instrText>
      </w:r>
      <w:r>
        <w:rPr>
          <w:rFonts w:ascii="Arial" w:hAnsi="Arial" w:cs="Arial"/>
          <w:sz w:val="20"/>
          <w:szCs w:val="20"/>
        </w:rPr>
        <w:fldChar w:fldCharType="separate"/>
      </w:r>
      <w:r w:rsidRPr="00993A0E">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w:t>
      </w:r>
      <w:r w:rsidR="00D50373">
        <w:rPr>
          <w:rFonts w:ascii="Arial" w:hAnsi="Arial" w:cs="Arial"/>
          <w:sz w:val="20"/>
          <w:szCs w:val="20"/>
        </w:rPr>
        <w:t xml:space="preserve">de Brasil, Chile, </w:t>
      </w:r>
      <w:r>
        <w:rPr>
          <w:rFonts w:ascii="Arial" w:hAnsi="Arial" w:cs="Arial"/>
          <w:sz w:val="20"/>
          <w:szCs w:val="20"/>
        </w:rPr>
        <w:t xml:space="preserve">Colombia </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"10.1177/0956462416684461", "ISSN" : "17581052", "abstract" : "Adult T-cell leukemia/lymphoma (ATL) is caused by the human T-cell lymphotropic virus type 1 (HTLV-1) which is endemic in countries of Caribbean and Central and South America. We performed a systematic search and review to identify publications on ATL in these countries to verify if this disease was getting recognition in these regions as well as the characteristics of the observed cases. The median age of 49.4 years was lower than that referred to in Japan. According to our findings in most Brazilian states and in some other countries, ATL is not being recognized and should be strongly considered in the differential diagnosis of T-cell leukemias/lymphomas. Failure to identify these cases may be due to the unsystematic realization of serology for HTLV-1 and phenotypic identification of non-Hodgkin lymphomas that may result from lack of resources. Detection of ATL cases has been more feasible with cooperation from foreign research centers. A huge effort should be made to improve the surveillance system for ATL diagnosis in most of the South- and Central-American and Caribbean countries, and this attitude should be embraced by public organs to support health professionals in this important task.", "author" : [ { "dropping-particle" : "", "family" : "Oliveira", "given" : "Pedro D.", "non-dropping-particle" : "", "parse-names" : false, "suffix" : "" }, { "dropping-particle" : "", "family" : "Carvalho", "given" : "Rebeca F.", "non-dropping-particle" : "de", "parse-names" : false, "suffix" : "" }, { "dropping-particle" : "", "family" : "Bittencourt", "given" : "Achil\u00e9a L.", "non-dropping-particle" : "", "parse-names" : false, "suffix" : "" } ], "container-title" : "International Journal of STD and AIDS", "id" : "ITEM-1", "issue" : "3", "issued" : { "date-parts" : [ [ "2017" ] ] }, "page" : "217-228", "title" : "Adult T-cell leukemia/lymphoma in South and Central America and the Caribbean: systematic search and review", "type" : "article", "volume" : "28" }, "uris" : [ "http://www.mendeley.com/documents/?uuid=7b01d582-28ed-4aa9-9f63-a7f372f9cd86" ] } ], "mendeley" : { "formattedCitation" : "(4)", "plainTextFormattedCitation" : "(4)", "previouslyFormattedCitation" : "(4)" }, "properties" : {  }, "schema" : "https://github.com/citation-style-language/schema/raw/master/csl-citation.json" }</w:instrText>
      </w:r>
      <w:r>
        <w:rPr>
          <w:rFonts w:ascii="Arial" w:hAnsi="Arial" w:cs="Arial"/>
          <w:sz w:val="20"/>
          <w:szCs w:val="20"/>
        </w:rPr>
        <w:fldChar w:fldCharType="separate"/>
      </w:r>
      <w:r w:rsidRPr="00993A0E">
        <w:rPr>
          <w:rFonts w:ascii="Arial" w:hAnsi="Arial" w:cs="Arial"/>
          <w:noProof/>
          <w:sz w:val="20"/>
          <w:szCs w:val="20"/>
        </w:rPr>
        <w:t>(4)</w:t>
      </w:r>
      <w:r>
        <w:rPr>
          <w:rFonts w:ascii="Arial" w:hAnsi="Arial" w:cs="Arial"/>
          <w:sz w:val="20"/>
          <w:szCs w:val="20"/>
        </w:rPr>
        <w:fldChar w:fldCharType="end"/>
      </w:r>
      <w:r>
        <w:rPr>
          <w:rFonts w:ascii="Arial" w:hAnsi="Arial" w:cs="Arial"/>
          <w:sz w:val="20"/>
          <w:szCs w:val="20"/>
        </w:rPr>
        <w:t xml:space="preserve">, </w:t>
      </w:r>
      <w:r w:rsidR="005D65B7">
        <w:rPr>
          <w:rFonts w:ascii="Arial" w:hAnsi="Arial" w:cs="Arial"/>
          <w:sz w:val="20"/>
          <w:szCs w:val="20"/>
        </w:rPr>
        <w:t xml:space="preserve">el Caribe, </w:t>
      </w:r>
      <w:r>
        <w:rPr>
          <w:rFonts w:ascii="Arial" w:hAnsi="Arial" w:cs="Arial"/>
          <w:sz w:val="20"/>
          <w:szCs w:val="20"/>
        </w:rPr>
        <w:t>Este Medio</w:t>
      </w:r>
      <w:r w:rsidR="005D65B7">
        <w:rPr>
          <w:rFonts w:ascii="Arial" w:hAnsi="Arial" w:cs="Arial"/>
          <w:sz w:val="20"/>
          <w:szCs w:val="20"/>
        </w:rPr>
        <w:t xml:space="preserve"> y </w:t>
      </w:r>
      <w:proofErr w:type="spellStart"/>
      <w:r w:rsidR="005D65B7">
        <w:rPr>
          <w:rFonts w:ascii="Arial" w:hAnsi="Arial" w:cs="Arial"/>
          <w:sz w:val="20"/>
          <w:szCs w:val="20"/>
        </w:rPr>
        <w:t>Africa</w:t>
      </w:r>
      <w:proofErr w:type="spellEnd"/>
      <w:r w:rsidR="00D50373">
        <w:rPr>
          <w:rFonts w:ascii="Arial" w:hAnsi="Arial" w:cs="Arial"/>
          <w:sz w:val="20"/>
          <w:szCs w:val="20"/>
        </w:rPr>
        <w:t xml:space="preserve"> intertropical</w:t>
      </w:r>
      <w:r w:rsidR="005D65B7">
        <w:rPr>
          <w:rFonts w:ascii="Arial" w:hAnsi="Arial" w:cs="Arial"/>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"10.1016/j.blre.2015.08.003", "ISSN" : "15321681", "abstract" : "The novel genetic information gained from genome-wide high throughput techniques has greatly improved our understanding of peripheral T-cell lymphoma (PTCL). PTCL consists of numerous distinct entities and is currently diagnosed using a combination of clinical and morphologic features and immunophenotyping together with limited molecular assays leading to an often fragmented, complicated diagnostic system. The diagnosis of many cases is challenging even for expert hematopathologists and more than a third of the cases cannot be further classified and thus put into the PTCL-NOS category. Gene expression profiling (GEP) has significantly improved the molecular classification of PTCLs and identified robust molecular signatures for common nodal subtypes of PTCL including angioimmunoblastic T-cell lymphoma (AITL), anaplastic T-cell lymphoma (ALCL), adult T-cell leukemia/lymphoma (ATLL) and extra-nodal NK/T cell lymphoma (ENKTL). These studies also led to identification of novel molecular subtypes with distinct prognosis, that otherwise could not be identified by conventional methods. Integration of massive sequencing strategies and gene expression has characterized driver genetic alterations in common subtypes like AITL, ALCL, ENKTL and other PTCLs. These studies have identified oncogenic pathways and genes affected in specific disease subtypes that can be potentially targeted by specific therapies. Novel treatment options with FDA approved drugs directed towards mutant IDH2, the NF-\u03baB, JAK/STAT, or mTOR pathways illustrate the usefulness of genome-wide techniques to identify targets for therapy. In this review, we highlight recent advances in the molecular diagnosis and prognosis of PTCL using these genome-wide techniques.", "author" : [ { "dropping-particle" : "", "family" : "Iqbal", "given" : "Javeed", "non-dropping-particle" : "", "parse-names" : false, "suffix" : "" }, { "dropping-particle" : "", "family" : "Wilcox", "given" : "Ryan", "non-dropping-particle" : "", "parse-names" : false, "suffix" : "" }, { "dropping-particle" : "", "family" : "Naushad", "given" : "Hina", "non-dropping-particle" : "", "parse-names" : false, "suffix" : "" }, { "dropping-particle" : "", "family" : "Rohr", "given" : "Joseph", "non-dropping-particle" : "", "parse-names" : false, "suffix" : "" }, { "dropping-particle" : "", "family" : "Heavican", "given" : "Tayla B.", "non-dropping-particle" : "", "parse-names" : false, "suffix" : "" }, { "dropping-particle" : "", "family" : "Wang", "given" : "Chao", "non-dropping-particle" : "", "parse-names" : false, "suffix" : "" }, { "dropping-particle" : "", "family" : "Bouska", "given" : "Alyssa", "non-dropping-particle" : "", "parse-names" : false, "suffix" : "" }, { "dropping-particle" : "", "family" : "Fu", "given" : "Kai", "non-dropping-particle" : "", "parse-names" : false, "suffix" : "" }, { "dropping-particle" : "", "family" : "Chan", "given" : "Wing C.", "non-dropping-particle" : "", "parse-names" : false, "suffix" : "" }, { "dropping-particle" : "", "family" : "Vose", "given" : "Julie M.", "non-dropping-particle" : "", "parse-names" : false, "suffix" : "" } ], "container-title" : "Blood Reviews", "id" : "ITEM-1", "issue" : "2", "issued" : { "date-parts" : [ [ "2016" ] ] }, "page" : "89-100", "publisher" : "Elsevier B.V.", "title" : "Genomic signatures in T-cell lymphoma: How can these improve precision in diagnosis and inform prognosis?", "type" : "article-journal", "volume" : "30" }, "uris" : [ "http://www.mendeley.com/documents/?uuid=fb3cef22-f2c8-415f-a787-d81c6df14730", "http://www.mendeley.com/documents/?uuid=df7a12d7-e96e-4120-9c83-44e3128e0b41" ] } ], "mendeley" : { "formattedCitation" : "(5)", "plainTextFormattedCitation" : "(5)", "previouslyFormattedCitation" : "(5)" }, "properties" : {  }, "schema" : "https://github.com/citation-style-language/schema/raw/master/csl-citation.json" }</w:instrText>
      </w:r>
      <w:r>
        <w:rPr>
          <w:rFonts w:ascii="Arial" w:hAnsi="Arial" w:cs="Arial"/>
          <w:sz w:val="20"/>
          <w:szCs w:val="20"/>
        </w:rPr>
        <w:fldChar w:fldCharType="separate"/>
      </w:r>
      <w:r w:rsidRPr="00993A0E">
        <w:rPr>
          <w:rFonts w:ascii="Arial" w:hAnsi="Arial" w:cs="Arial"/>
          <w:noProof/>
          <w:sz w:val="20"/>
          <w:szCs w:val="20"/>
        </w:rPr>
        <w:t>(5)</w:t>
      </w:r>
      <w:r>
        <w:rPr>
          <w:rFonts w:ascii="Arial" w:hAnsi="Arial" w:cs="Arial"/>
          <w:sz w:val="20"/>
          <w:szCs w:val="20"/>
        </w:rPr>
        <w:fldChar w:fldCharType="end"/>
      </w:r>
    </w:p>
    <w:p w14:paraId="0ECDE2BB" w14:textId="77777777" w:rsidR="00696B1D" w:rsidRDefault="00696B1D" w:rsidP="00D50373">
      <w:pPr>
        <w:ind w:firstLine="708"/>
        <w:jc w:val="both"/>
        <w:rPr>
          <w:rFonts w:ascii="Arial" w:hAnsi="Arial" w:cs="Arial"/>
          <w:sz w:val="20"/>
          <w:szCs w:val="20"/>
        </w:rPr>
      </w:pPr>
    </w:p>
    <w:p w14:paraId="0B7FE924" w14:textId="7412596C" w:rsidR="00696B1D" w:rsidRDefault="00696B1D" w:rsidP="00D50373">
      <w:pPr>
        <w:jc w:val="both"/>
        <w:rPr>
          <w:rFonts w:ascii="Arial" w:hAnsi="Arial" w:cs="Arial"/>
          <w:sz w:val="20"/>
          <w:szCs w:val="20"/>
        </w:rPr>
      </w:pPr>
      <w:r>
        <w:rPr>
          <w:rFonts w:ascii="Arial" w:hAnsi="Arial" w:cs="Arial"/>
          <w:sz w:val="20"/>
          <w:szCs w:val="20"/>
        </w:rPr>
        <w:t xml:space="preserve">Desde 1991, ha sido tipificada bajo la clasificación </w:t>
      </w:r>
      <w:proofErr w:type="spellStart"/>
      <w:r>
        <w:rPr>
          <w:rFonts w:ascii="Arial" w:hAnsi="Arial" w:cs="Arial"/>
          <w:sz w:val="20"/>
          <w:szCs w:val="20"/>
        </w:rPr>
        <w:t>Shimoyama</w:t>
      </w:r>
      <w:proofErr w:type="spellEnd"/>
      <w:r>
        <w:rPr>
          <w:rFonts w:ascii="Arial" w:hAnsi="Arial" w:cs="Arial"/>
          <w:sz w:val="20"/>
          <w:szCs w:val="20"/>
        </w:rPr>
        <w:t xml:space="preserve"> en 4 subtipos: aguda, </w:t>
      </w:r>
      <w:proofErr w:type="spellStart"/>
      <w:r>
        <w:rPr>
          <w:rFonts w:ascii="Arial" w:hAnsi="Arial" w:cs="Arial"/>
          <w:sz w:val="20"/>
          <w:szCs w:val="20"/>
        </w:rPr>
        <w:t>linfomatosa</w:t>
      </w:r>
      <w:proofErr w:type="spellEnd"/>
      <w:r>
        <w:rPr>
          <w:rFonts w:ascii="Arial" w:hAnsi="Arial" w:cs="Arial"/>
          <w:sz w:val="20"/>
          <w:szCs w:val="20"/>
        </w:rPr>
        <w:t xml:space="preserve">, crónica y </w:t>
      </w:r>
      <w:proofErr w:type="spellStart"/>
      <w:r w:rsidRPr="005D65B7">
        <w:rPr>
          <w:rFonts w:ascii="Arial" w:hAnsi="Arial" w:cs="Arial"/>
          <w:iCs/>
          <w:sz w:val="20"/>
          <w:szCs w:val="20"/>
        </w:rPr>
        <w:t>smoldering</w:t>
      </w:r>
      <w:proofErr w:type="spellEnd"/>
      <w:r w:rsidR="005D65B7">
        <w:rPr>
          <w:rFonts w:ascii="Arial" w:hAnsi="Arial" w:cs="Arial"/>
          <w:i/>
          <w:iCs/>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"10.1111/j.1365-2141.1991.tb08051.x", "ISSN" : "0007-1048", "abstract" : "The following diagnostic criteria are proposed to classify four clinical subtypes of HTLV-1 associated adult T-cell leukaemia-lymphoma (ATL): (1) Smouldering type, 5% or more abnormal lymphocytes of T-cell nature in PB, normal lymphocyte level (&lt; 4 ? 109/1), no hypercalcaemia (corrected calcium level &lt; 2\u00b774 mmol/1), lactate dehydrogenase (LDH) value of up to 1\u00b75 ? the normal upper limit, no lymphadenopathy, no involvement of liver, spleen, central nervous system (CNS), bone and gastrointestinal tract, and neither ascites nor pleural effusion. Skin and pulmonary lesion(s) may be present. In case of less than 5% abnormal T-lymphocytes in PB, at least one of histologically-proven skin and pulmonary lesions should be present. (2) Chronic type, absolute lymphocytosis (4 ? 109/1 or more) with T-lymphocytosis more than 3\u00b75 ? 109/1. LDH value up to twice the normal upper limit, no hypercalcaemia, no involvement of CNS, bone and gastrointestinal tract, and neither ascites nor pleural effusion. Lymphadenopathy and involvement of liver, spleen, skin, and lung may be present, and 5% or more abnormal T-lymphocytes are seen in PB in most cases. (3) Lymphoma type, no lymphocytosis, 1% or less abnormal T-lymphocytes, and histologically-proven lymphadenopathy with or without extranodal lesions. (4) Acute type, remaining ATL patients who have usually leukaemic manifestation and tumour lesions, but are not classified as any of the three other types. A total of 818 ATL patients with a mean age of 57 years, newly diagnosed from 1983 to 1987, were analysed by this criteria. There were 448 males and 370 females, and 253 were still alive with a median follow-up time of 13\u00b73 months from diagnosis, while 565 were dead with a median survival time (MST) of 5\u00b74 months. MST was 6\u00b72 months for acute type, 10\u00b72 months for lymphoma type, 24\u00b73 months for chronic type, and not yet reached for smouldering type. Projected 2- and 4-year survival rates were 16\u00b77% and 5\u00b70% for acute type, 21\u00b73% and 5\u00b77% for lymphoma type, 52\u00b74% and 26 ? 9% for chronic type, 77\u00b77% and 62\u00b78% for smouldering type, respectively. Distinct clinical features and laboratory findings of each clinical subtype are described.", "author" : [ { "dropping-particle" : "", "family" : "Shimoyama", "given" : "M", "non-dropping-particle" : "", "parse-names" : false, "suffix" : "" }, { "dropping-particle" : "", "family" : "(1984\u201387)", "given" : "members of The Lymphoma Study Group", "non-dropping-particle" : "", "parse-names" : false, "suffix" : "" } ], "container-title" : "British Journal of Haematology", "id" : "ITEM-1", "issue" : "3", "issued" : { "date-parts" : [ [ "1991", "11" ] ] }, "page" : "428-437", "publisher" : "John Wiley &amp; Sons, Ltd", "title" : "Diagnostic criteria and classification of clinical subtypes of adult T-cell leukaemia-lymphoma", "type" : "article-journal", "volume" : "79" }, "uris" : [ "http://www.mendeley.com/documents/?uuid=57ea64c9-5b32-49ed-9c44-047ce1108ce9", "http://www.mendeley.com/documents/?uuid=7be6d080-395e-46a7-af48-e4e29ff16c76" ] } ], "mendeley" : { "formattedCitation" : "(6)", "plainTextFormattedCitation" : "(6)", "previouslyFormattedCitation" : "(6)" }, "properties" : {  }, "schema" : "https://github.com/citation-style-language/schema/raw/master/csl-citation.json" }</w:instrText>
      </w:r>
      <w:r>
        <w:rPr>
          <w:rFonts w:ascii="Arial" w:hAnsi="Arial" w:cs="Arial"/>
          <w:sz w:val="20"/>
          <w:szCs w:val="20"/>
        </w:rPr>
        <w:fldChar w:fldCharType="separate"/>
      </w:r>
      <w:r w:rsidRPr="00993A0E">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Las formas agudas y </w:t>
      </w:r>
      <w:proofErr w:type="spellStart"/>
      <w:r>
        <w:rPr>
          <w:rFonts w:ascii="Arial" w:hAnsi="Arial" w:cs="Arial"/>
          <w:sz w:val="20"/>
          <w:szCs w:val="20"/>
        </w:rPr>
        <w:t>linfomatosa</w:t>
      </w:r>
      <w:proofErr w:type="spellEnd"/>
      <w:r>
        <w:rPr>
          <w:rFonts w:ascii="Arial" w:hAnsi="Arial" w:cs="Arial"/>
          <w:sz w:val="20"/>
          <w:szCs w:val="20"/>
        </w:rPr>
        <w:t xml:space="preserve"> tienen pronóstico de sobrevida global aproximado de 4 y 9 meses, respectivamente, con una frecuencia sumadas de hasta 80%, en tanto que las formas crónica y </w:t>
      </w:r>
      <w:proofErr w:type="spellStart"/>
      <w:r w:rsidRPr="005D65B7">
        <w:rPr>
          <w:rFonts w:ascii="Arial" w:hAnsi="Arial" w:cs="Arial"/>
          <w:iCs/>
          <w:sz w:val="20"/>
          <w:szCs w:val="20"/>
        </w:rPr>
        <w:t>smoldering</w:t>
      </w:r>
      <w:proofErr w:type="spellEnd"/>
      <w:r>
        <w:rPr>
          <w:rFonts w:ascii="Arial" w:hAnsi="Arial" w:cs="Arial"/>
          <w:i/>
          <w:iCs/>
          <w:sz w:val="20"/>
          <w:szCs w:val="20"/>
        </w:rPr>
        <w:t xml:space="preserve"> </w:t>
      </w:r>
      <w:r>
        <w:rPr>
          <w:rFonts w:ascii="Arial" w:hAnsi="Arial" w:cs="Arial"/>
          <w:sz w:val="20"/>
          <w:szCs w:val="20"/>
        </w:rPr>
        <w:t>son de menor agresividad</w:t>
      </w:r>
      <w:r w:rsidR="005D65B7">
        <w:rPr>
          <w:rFonts w:ascii="Arial" w:hAnsi="Arial" w:cs="Arial"/>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"10.3109/10428194.2014.1003559", "ISSN" : "10292403", "author" : [ { "dropping-particle" : "", "family" : "Magalhaes", "given" : "Marcelo", "non-dropping-particle" : "", "parse-names" : false, "suffix" : "" }, { "dropping-particle" : "", "family" : "Oliveira", "given" : "Pedro D.", "non-dropping-particle" : "", "parse-names" : false, "suffix" : "" }, { "dropping-particle" : "", "family" : "Bittencourt", "given" : "Achilea L.", "non-dropping-particle" : "", "parse-names" : false, "suffix" : "" }, { "dropping-particle" : "", "family" : "Farre", "given" : "Lourdes", "non-dropping-particle" : "", "parse-names" : false, "suffix" : "" } ], "container-title" : "Leukemia and Lymphoma", "id" : "ITEM-1", "issue" : "12", "issued" : { "date-parts" : [ [ "2015" ] ] }, "page" : "3434-3436", "title" : "Point mutations in TP53 but not in p15Ink4b and p16Ink4a genes represent poor prognosis factors in acute adult T cell leukemia/lymphoma", "type" : "article-journal", "volume" : "56" }, "uris" : [ "http://www.mendeley.com/documents/?uuid=b37d66b0-2bab-4d94-9d72-ff87511c1de8", "http://www.mendeley.com/documents/?uuid=4a5e4b02-b4a2-45d4-ac80-31c949653eae" ] } ], "mendeley" : { "formattedCitation" : "(7)", "plainTextFormattedCitation" : "(7)", "previouslyFormattedCitation" : "(7)" }, "properties" : {  }, "schema" : "https://github.com/citation-style-language/schema/raw/master/csl-citation.json" }</w:instrText>
      </w:r>
      <w:r>
        <w:rPr>
          <w:rFonts w:ascii="Arial" w:hAnsi="Arial" w:cs="Arial"/>
          <w:sz w:val="20"/>
          <w:szCs w:val="20"/>
        </w:rPr>
        <w:fldChar w:fldCharType="separate"/>
      </w:r>
      <w:r w:rsidRPr="00993A0E">
        <w:rPr>
          <w:rFonts w:ascii="Arial" w:hAnsi="Arial" w:cs="Arial"/>
          <w:noProof/>
          <w:sz w:val="20"/>
          <w:szCs w:val="20"/>
        </w:rPr>
        <w:t>(7)</w:t>
      </w:r>
      <w:r>
        <w:rPr>
          <w:rFonts w:ascii="Arial" w:hAnsi="Arial" w:cs="Arial"/>
          <w:sz w:val="20"/>
          <w:szCs w:val="20"/>
        </w:rPr>
        <w:fldChar w:fldCharType="end"/>
      </w:r>
      <w:r>
        <w:rPr>
          <w:rFonts w:ascii="Arial" w:hAnsi="Arial" w:cs="Arial"/>
          <w:sz w:val="20"/>
          <w:szCs w:val="20"/>
        </w:rPr>
        <w:t xml:space="preserve"> En 2009, </w:t>
      </w:r>
      <w:proofErr w:type="spellStart"/>
      <w:r>
        <w:rPr>
          <w:rFonts w:ascii="Arial" w:hAnsi="Arial" w:cs="Arial"/>
          <w:sz w:val="20"/>
          <w:szCs w:val="20"/>
        </w:rPr>
        <w:t>Bittencourt</w:t>
      </w:r>
      <w:proofErr w:type="spellEnd"/>
      <w:r>
        <w:rPr>
          <w:rFonts w:ascii="Arial" w:hAnsi="Arial" w:cs="Arial"/>
          <w:sz w:val="20"/>
          <w:szCs w:val="20"/>
        </w:rPr>
        <w:t xml:space="preserve"> y </w:t>
      </w:r>
      <w:proofErr w:type="spellStart"/>
      <w:r>
        <w:rPr>
          <w:rFonts w:ascii="Arial" w:hAnsi="Arial" w:cs="Arial"/>
          <w:sz w:val="20"/>
          <w:szCs w:val="20"/>
        </w:rPr>
        <w:t>cols</w:t>
      </w:r>
      <w:proofErr w:type="spellEnd"/>
      <w:r>
        <w:rPr>
          <w:rFonts w:ascii="Arial" w:hAnsi="Arial" w:cs="Arial"/>
          <w:sz w:val="20"/>
          <w:szCs w:val="20"/>
        </w:rPr>
        <w:t xml:space="preserve"> d</w:t>
      </w:r>
      <w:r w:rsidRPr="002909F2">
        <w:rPr>
          <w:rFonts w:ascii="Arial" w:hAnsi="Arial" w:cs="Arial"/>
          <w:sz w:val="20"/>
          <w:szCs w:val="20"/>
        </w:rPr>
        <w:t xml:space="preserve">escribieron dos formas cutáneas, una forma </w:t>
      </w:r>
      <w:proofErr w:type="spellStart"/>
      <w:r w:rsidRPr="005D65B7">
        <w:rPr>
          <w:rFonts w:ascii="Arial" w:hAnsi="Arial" w:cs="Arial"/>
          <w:iCs/>
          <w:sz w:val="20"/>
          <w:szCs w:val="20"/>
        </w:rPr>
        <w:t>smoldering</w:t>
      </w:r>
      <w:proofErr w:type="spellEnd"/>
      <w:r w:rsidRPr="002909F2">
        <w:rPr>
          <w:rFonts w:ascii="Arial" w:hAnsi="Arial" w:cs="Arial"/>
          <w:sz w:val="20"/>
          <w:szCs w:val="20"/>
        </w:rPr>
        <w:t xml:space="preserve"> asociada con un curso indolente y una supervivencia de 58 meses y una forma tumoral con una supervivencia de 20 meses</w:t>
      </w:r>
      <w:r w:rsidR="005D65B7">
        <w:rPr>
          <w:rFonts w:ascii="Arial" w:hAnsi="Arial" w:cs="Arial"/>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"10.1080/02841860802657235", "ISSN" : "1651-226X (Electronic)", "PMID" : "19165640", "abstract" : "BACKGROUND: Adult T-cell leukemia/lymphoma (ATL) is a severe disease caused by HTLV-I. This paper describes the clinicopathological and immunohistochemical findings of 52 cases of ATL with skin involvement and investigates whether there is any relationship between median survival time (MST) and histological patterns, primary cutaneous involvement and CD8 positivity. MATERIAL AND METHODS: All cases were HTLV-I+ and HIV- and were clinically classified. HTLV-I proviral integration was investigated in atypical cases. Immunohistochemistry was performed using CD3, CD4, CD5, CD7, CD8, CD20, CD25, CD30 and CD45RO markers. Ki-67 was used to evaluate the proliferative index. RESULTS: Twenty-seven cases were primary, while 25 were secondary. Monoclonal viral integration was demonstrated in all atypical cases. Patterns resembling mycosis fungoides (MF) were found in 19 cases and anaplastic large-cell lymphoma (ALCL) in two cases. Fifteen cases had an atypical immunophenotype and expressed CD8. Primary cutaneous ATL had a longer MST (48 months) than the secondary cutaneous ATL (7 months) and the difference was statistically significant, but no statistically significant difference was found between the MST of CD8-positive and negative cases. CONCLUSIONS: It is important to differentiate between primary and secondary cutaneous ATL and classify the cases histologically in order to better evaluate the prognosis. The two forms of primary cutaneous ATL, primary cutaneous smoldering and primary cutaneous tumoral (PCT), should also be identified. The smoldering type presented a longer survival (58 months) and histological aspects suggestive of better prognosis in contrast to the PCT type that had a shorter survival (20 months) and histological characteristics suggestive of worse outcome.", "author" : [ { "dropping-particle" : "", "family" : "Bittencourt", "given" : "Achilea L", "non-dropping-particle" : "", "parse-names" : false, "suffix" : "" }, { "dropping-particle" : "", "family" : "Barbosa", "given" : "Helenemarie S", "non-dropping-particle" : "", "parse-names" : false, "suffix" : "" }, { "dropping-particle" : "", "family" : "Vieira", "given" : "Maria Das Gracas", "non-dropping-particle" : "", "parse-names" : false, "suffix" : "" }, { "dropping-particle" : "", "family" : "Farre", "given" : "Lourdes", "non-dropping-particle" : "", "parse-names" : false, "suffix" : "" } ], "container-title" : "Acta oncologica (Stockholm, Sweden)", "id" : "ITEM-1", "issue" : "4", "issued" : { "date-parts" : [ [ "2009" ] ] }, "language" : "eng", "page" : "598-604", "publisher-place" : "England", "title" : "Adult T-cell leukemia/lymphoma (ATL) presenting in the skin: clinical, histological and immunohistochemical features of 52 cases.", "type" : "article-journal", "volume" : "48" }, "uris" : [ "http://www.mendeley.com/documents/?uuid=d4302f17-a88a-4a28-b492-757af35f895c", "http://www.mendeley.com/documents/?uuid=a6f9fec4-9f30-48ac-bb05-07a1af8b054f" ] } ], "mendeley" : { "formattedCitation" : "(8)", "plainTextFormattedCitation" : "(8)", "previouslyFormattedCitation" : "(8)" }, "properties" : {  }, "schema" : "https://github.com/citation-style-language/schema/raw/master/csl-citation.json" }</w:instrText>
      </w:r>
      <w:r>
        <w:rPr>
          <w:rFonts w:ascii="Arial" w:hAnsi="Arial" w:cs="Arial"/>
          <w:sz w:val="20"/>
          <w:szCs w:val="20"/>
        </w:rPr>
        <w:fldChar w:fldCharType="separate"/>
      </w:r>
      <w:r w:rsidRPr="002909F2">
        <w:rPr>
          <w:rFonts w:ascii="Arial" w:hAnsi="Arial" w:cs="Arial"/>
          <w:noProof/>
          <w:sz w:val="20"/>
          <w:szCs w:val="20"/>
        </w:rPr>
        <w:t>(8)</w:t>
      </w:r>
      <w:r>
        <w:rPr>
          <w:rFonts w:ascii="Arial" w:hAnsi="Arial" w:cs="Arial"/>
          <w:sz w:val="20"/>
          <w:szCs w:val="20"/>
        </w:rPr>
        <w:fldChar w:fldCharType="end"/>
      </w:r>
    </w:p>
    <w:p w14:paraId="451FCF50" w14:textId="77777777" w:rsidR="00696B1D" w:rsidRDefault="00696B1D" w:rsidP="00D50373">
      <w:pPr>
        <w:ind w:firstLine="708"/>
        <w:jc w:val="both"/>
        <w:rPr>
          <w:rFonts w:ascii="Arial" w:hAnsi="Arial" w:cs="Arial"/>
          <w:sz w:val="20"/>
          <w:szCs w:val="20"/>
        </w:rPr>
      </w:pPr>
    </w:p>
    <w:p w14:paraId="7061039B" w14:textId="0BDBA874" w:rsidR="00696B1D" w:rsidRDefault="00696B1D" w:rsidP="00D50373">
      <w:pPr>
        <w:jc w:val="both"/>
        <w:rPr>
          <w:rFonts w:ascii="Arial" w:hAnsi="Arial" w:cs="Arial"/>
          <w:sz w:val="20"/>
          <w:szCs w:val="20"/>
        </w:rPr>
      </w:pPr>
      <w:r>
        <w:rPr>
          <w:rFonts w:ascii="Arial" w:hAnsi="Arial" w:cs="Arial"/>
          <w:sz w:val="20"/>
          <w:szCs w:val="20"/>
        </w:rPr>
        <w:t xml:space="preserve">El proceso de </w:t>
      </w:r>
      <w:proofErr w:type="spellStart"/>
      <w:r>
        <w:rPr>
          <w:rFonts w:ascii="Arial" w:hAnsi="Arial" w:cs="Arial"/>
          <w:sz w:val="20"/>
          <w:szCs w:val="20"/>
        </w:rPr>
        <w:t>leucemogénesis</w:t>
      </w:r>
      <w:proofErr w:type="spellEnd"/>
      <w:r>
        <w:rPr>
          <w:rFonts w:ascii="Arial" w:hAnsi="Arial" w:cs="Arial"/>
          <w:sz w:val="20"/>
          <w:szCs w:val="20"/>
        </w:rPr>
        <w:t xml:space="preserve"> de la célula infectada por HTLV-1 depende estrechamente de la producción de las proteínas TAX y HBZ, cuya existencia facilita los procesos de anormalidades </w:t>
      </w:r>
      <w:proofErr w:type="spellStart"/>
      <w:r>
        <w:rPr>
          <w:rFonts w:ascii="Arial" w:hAnsi="Arial" w:cs="Arial"/>
          <w:sz w:val="20"/>
          <w:szCs w:val="20"/>
        </w:rPr>
        <w:t>transcripcionales</w:t>
      </w:r>
      <w:proofErr w:type="spellEnd"/>
      <w:r>
        <w:rPr>
          <w:rFonts w:ascii="Arial" w:hAnsi="Arial" w:cs="Arial"/>
          <w:sz w:val="20"/>
          <w:szCs w:val="20"/>
        </w:rPr>
        <w:t xml:space="preserve">, inestabilidad genómica, alteraciones de la señalización celular, interfiriendo con vías como la del factor NF-Kb o del TGF-b, generando procesos proliferativos, </w:t>
      </w:r>
      <w:proofErr w:type="spellStart"/>
      <w:r>
        <w:rPr>
          <w:rFonts w:ascii="Arial" w:hAnsi="Arial" w:cs="Arial"/>
          <w:sz w:val="20"/>
          <w:szCs w:val="20"/>
        </w:rPr>
        <w:t>antiapoptóticos</w:t>
      </w:r>
      <w:proofErr w:type="spellEnd"/>
      <w:r>
        <w:rPr>
          <w:rFonts w:ascii="Arial" w:hAnsi="Arial" w:cs="Arial"/>
          <w:sz w:val="20"/>
          <w:szCs w:val="20"/>
        </w:rPr>
        <w:t xml:space="preserve"> e inflamatorios que en el marco de anormalidades </w:t>
      </w:r>
      <w:proofErr w:type="spellStart"/>
      <w:r>
        <w:rPr>
          <w:rFonts w:ascii="Arial" w:hAnsi="Arial" w:cs="Arial"/>
          <w:sz w:val="20"/>
          <w:szCs w:val="20"/>
        </w:rPr>
        <w:t>epigenéticas</w:t>
      </w:r>
      <w:proofErr w:type="spellEnd"/>
      <w:r>
        <w:rPr>
          <w:rFonts w:ascii="Arial" w:hAnsi="Arial" w:cs="Arial"/>
          <w:sz w:val="20"/>
          <w:szCs w:val="20"/>
        </w:rPr>
        <w:t xml:space="preserve"> desencadenan la </w:t>
      </w:r>
      <w:proofErr w:type="spellStart"/>
      <w:r>
        <w:rPr>
          <w:rFonts w:ascii="Arial" w:hAnsi="Arial" w:cs="Arial"/>
          <w:sz w:val="20"/>
          <w:szCs w:val="20"/>
        </w:rPr>
        <w:t>leucemogénesis</w:t>
      </w:r>
      <w:proofErr w:type="spellEnd"/>
      <w:r>
        <w:rPr>
          <w:rFonts w:ascii="Arial" w:hAnsi="Arial" w:cs="Arial"/>
          <w:sz w:val="20"/>
          <w:szCs w:val="20"/>
        </w:rPr>
        <w:t xml:space="preserve">/ </w:t>
      </w:r>
      <w:proofErr w:type="spellStart"/>
      <w:r>
        <w:rPr>
          <w:rFonts w:ascii="Arial" w:hAnsi="Arial" w:cs="Arial"/>
          <w:sz w:val="20"/>
          <w:szCs w:val="20"/>
        </w:rPr>
        <w:t>linfomagénesis</w:t>
      </w:r>
      <w:proofErr w:type="spellEnd"/>
      <w:r>
        <w:rPr>
          <w:rFonts w:ascii="Arial" w:hAnsi="Arial" w:cs="Arial"/>
          <w:sz w:val="20"/>
          <w:szCs w:val="20"/>
        </w:rPr>
        <w:t xml:space="preserve"> del tumor</w:t>
      </w:r>
      <w:r w:rsidR="00E634E3">
        <w:rPr>
          <w:rFonts w:ascii="Arial" w:hAnsi="Arial" w:cs="Arial"/>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"10.3389/fmicb.2012.00334", "ISSN" : "1664302X", "abstract" : "The molecular hallmarks of adultT cell leukemia (ATL) comprise outstanding deregulations of signaling pathways that control the cell cycle, resistance to apoptosis, and proliferation of leukemic cells, all of which have been identified by early excellent studies. Nevertheless, we are now confronted the therapeutic difficulties of ATL that is a most aggressive T cell leukemia/lymphoma. Using next-generation strategies, emerging molecular characteristics such as specific surface markers and an additional catalog of signals affecting the fate of leukemic cells have been added to the molecular hallmarks that constitute an organizing principle for rationalizing the complexities of ATL. Although human T cell leukemia virus type 1 is undoubtedly involved in ATL leukemogenesis, most leukemic cells do not express the viral protein Tax. Instead, cellular gene expression changes dominate homeostasis disorders of infected cells and characteristics of ATL. In this review, we summarize the state of the art of ATL molecular pathology, which supports the biological properties of leukemic cells. In addition, we discuss the recent discovery of two molecular hallmarks of potential generality; an abnormal microRNA pattern and epigenetic reprogramming, which strongly involve the imbalance of the molecular network of lymphocytes. Global analyses of ATL have revealed the functional impact of crosstalk between multifunctional pathways. Clinical and biological studies on signaling inhibitory agents have also revealed novel oncogenic drivers that can be targeted in future. ATL cells, by deregulation of such pathways and their interconnections, may become masters of their own destinies. Recognizing and understanding of the widespread molecular applicability of these concepts will increasingly affect the development of novel strategies for treating ATL. \u00a9 2012 Yamagishi and Watanabe.", "author" : [ { "dropping-particle" : "", "family" : "Yamagishi", "given" : "Makoto", "non-dropping-particle" : "", "parse-names" : false, "suffix" : "" }, { "dropping-particle" : "", "family" : "Watanabe", "given" : "Toshiki", "non-dropping-particle" : "", "parse-names" : false, "suffix" : "" } ], "container-title" : "Frontiers in Microbiology", "id" : "ITEM-1", "issue" : "334", "issued" : { "date-parts" : [ [ "2012" ] ] }, "page" : "1-16", "title" : "Molecular hallmarks of adult T cell leukemia", "type" : "article-journal", "volume" : "3" }, "uris" : [ "http://www.mendeley.com/documents/?uuid=3755de67-7e99-4288-ad00-473c7859e9b0", "http://www.mendeley.com/documents/?uuid=3674b5d5-0273-4cb4-9657-875d30650b70" ] } ], "mendeley" : { "formattedCitation" : "(9)", "plainTextFormattedCitation" : "(9)", "previouslyFormattedCitation" : "(9)" }, "properties" : {  }, "schema" : "https://github.com/citation-style-language/schema/raw/master/csl-citation.json" }</w:instrText>
      </w:r>
      <w:r>
        <w:rPr>
          <w:rFonts w:ascii="Arial" w:hAnsi="Arial" w:cs="Arial"/>
          <w:sz w:val="20"/>
          <w:szCs w:val="20"/>
        </w:rPr>
        <w:fldChar w:fldCharType="separate"/>
      </w:r>
      <w:r w:rsidRPr="002909F2">
        <w:rPr>
          <w:rFonts w:ascii="Arial" w:hAnsi="Arial" w:cs="Arial"/>
          <w:noProof/>
          <w:sz w:val="20"/>
          <w:szCs w:val="20"/>
        </w:rPr>
        <w:t>(9)</w:t>
      </w:r>
      <w:r>
        <w:rPr>
          <w:rFonts w:ascii="Arial" w:hAnsi="Arial" w:cs="Arial"/>
          <w:sz w:val="20"/>
          <w:szCs w:val="20"/>
        </w:rPr>
        <w:fldChar w:fldCharType="end"/>
      </w:r>
    </w:p>
    <w:p w14:paraId="54D43F74" w14:textId="77777777" w:rsidR="00696B1D" w:rsidRDefault="00696B1D" w:rsidP="00D50373">
      <w:pPr>
        <w:ind w:firstLine="708"/>
        <w:jc w:val="both"/>
        <w:rPr>
          <w:rFonts w:ascii="Arial" w:hAnsi="Arial" w:cs="Arial"/>
          <w:sz w:val="20"/>
          <w:szCs w:val="20"/>
        </w:rPr>
      </w:pPr>
    </w:p>
    <w:p w14:paraId="6D931F94" w14:textId="68C21EBF" w:rsidR="00696B1D" w:rsidRDefault="00696B1D" w:rsidP="00D50373">
      <w:pPr>
        <w:jc w:val="both"/>
        <w:rPr>
          <w:rFonts w:ascii="Arial" w:hAnsi="Arial" w:cs="Arial"/>
          <w:sz w:val="20"/>
          <w:szCs w:val="20"/>
        </w:rPr>
      </w:pPr>
      <w:r w:rsidRPr="00D83DC7">
        <w:rPr>
          <w:rFonts w:ascii="Arial" w:hAnsi="Arial" w:cs="Arial"/>
          <w:sz w:val="20"/>
          <w:szCs w:val="20"/>
        </w:rPr>
        <w:t>Las vías más importantes de transmisión del HTLV-</w:t>
      </w:r>
      <w:r>
        <w:rPr>
          <w:rFonts w:ascii="Arial" w:hAnsi="Arial" w:cs="Arial"/>
          <w:sz w:val="20"/>
          <w:szCs w:val="20"/>
        </w:rPr>
        <w:t xml:space="preserve"> </w:t>
      </w:r>
      <w:r w:rsidRPr="00D83DC7">
        <w:rPr>
          <w:rFonts w:ascii="Arial" w:hAnsi="Arial" w:cs="Arial"/>
          <w:sz w:val="20"/>
          <w:szCs w:val="20"/>
        </w:rPr>
        <w:t xml:space="preserve">1 </w:t>
      </w:r>
      <w:r>
        <w:rPr>
          <w:rFonts w:ascii="Arial" w:hAnsi="Arial" w:cs="Arial"/>
          <w:sz w:val="20"/>
          <w:szCs w:val="20"/>
        </w:rPr>
        <w:t>son la transmisión vertical</w:t>
      </w:r>
      <w:r w:rsidRPr="00D83DC7">
        <w:rPr>
          <w:rFonts w:ascii="Arial" w:hAnsi="Arial" w:cs="Arial"/>
          <w:sz w:val="20"/>
          <w:szCs w:val="20"/>
        </w:rPr>
        <w:t xml:space="preserve"> de madre a hijo, predominantemente, a través de la lactancia materna</w:t>
      </w:r>
      <w:r>
        <w:rPr>
          <w:rFonts w:ascii="Arial" w:hAnsi="Arial" w:cs="Arial"/>
          <w:sz w:val="20"/>
          <w:szCs w:val="20"/>
        </w:rPr>
        <w:t>;</w:t>
      </w:r>
      <w:r w:rsidRPr="00D83DC7">
        <w:rPr>
          <w:rFonts w:ascii="Arial" w:hAnsi="Arial" w:cs="Arial"/>
          <w:sz w:val="20"/>
          <w:szCs w:val="20"/>
        </w:rPr>
        <w:t xml:space="preserve"> </w:t>
      </w:r>
      <w:r>
        <w:rPr>
          <w:rFonts w:ascii="Arial" w:hAnsi="Arial" w:cs="Arial"/>
          <w:sz w:val="20"/>
          <w:szCs w:val="20"/>
        </w:rPr>
        <w:t>el contacto sexual</w:t>
      </w:r>
      <w:r w:rsidRPr="00D83DC7">
        <w:rPr>
          <w:rFonts w:ascii="Arial" w:hAnsi="Arial" w:cs="Arial"/>
          <w:sz w:val="20"/>
          <w:szCs w:val="20"/>
        </w:rPr>
        <w:t xml:space="preserve"> y el contacto sanguíneo. </w:t>
      </w:r>
      <w:r>
        <w:rPr>
          <w:rFonts w:ascii="Arial" w:hAnsi="Arial" w:cs="Arial"/>
          <w:sz w:val="20"/>
          <w:szCs w:val="20"/>
        </w:rPr>
        <w:t xml:space="preserve">En vista de todos estos mecanismos </w:t>
      </w:r>
      <w:proofErr w:type="spellStart"/>
      <w:r>
        <w:rPr>
          <w:rFonts w:ascii="Arial" w:hAnsi="Arial" w:cs="Arial"/>
          <w:sz w:val="20"/>
          <w:szCs w:val="20"/>
        </w:rPr>
        <w:t>multi</w:t>
      </w:r>
      <w:proofErr w:type="spellEnd"/>
      <w:r>
        <w:rPr>
          <w:rFonts w:ascii="Arial" w:hAnsi="Arial" w:cs="Arial"/>
          <w:sz w:val="20"/>
          <w:szCs w:val="20"/>
        </w:rPr>
        <w:t xml:space="preserve">-pasos de carcinogénesis en ATLL, </w:t>
      </w:r>
      <w:r w:rsidRPr="00D83DC7">
        <w:rPr>
          <w:rFonts w:ascii="Arial" w:hAnsi="Arial" w:cs="Arial"/>
          <w:sz w:val="20"/>
          <w:szCs w:val="20"/>
        </w:rPr>
        <w:t xml:space="preserve"> </w:t>
      </w:r>
      <w:r>
        <w:rPr>
          <w:rFonts w:ascii="Arial" w:hAnsi="Arial" w:cs="Arial"/>
          <w:sz w:val="20"/>
          <w:szCs w:val="20"/>
        </w:rPr>
        <w:t xml:space="preserve">se sabe que </w:t>
      </w:r>
      <w:r w:rsidRPr="00D83DC7">
        <w:rPr>
          <w:rFonts w:ascii="Arial" w:hAnsi="Arial" w:cs="Arial"/>
          <w:sz w:val="20"/>
          <w:szCs w:val="20"/>
        </w:rPr>
        <w:t xml:space="preserve">sujetos con </w:t>
      </w:r>
      <w:proofErr w:type="spellStart"/>
      <w:r w:rsidRPr="00D83DC7">
        <w:rPr>
          <w:rFonts w:ascii="Arial" w:hAnsi="Arial" w:cs="Arial"/>
          <w:sz w:val="20"/>
          <w:szCs w:val="20"/>
        </w:rPr>
        <w:t>haplotipos</w:t>
      </w:r>
      <w:proofErr w:type="spellEnd"/>
      <w:r w:rsidRPr="00D83DC7">
        <w:rPr>
          <w:rFonts w:ascii="Arial" w:hAnsi="Arial" w:cs="Arial"/>
          <w:sz w:val="20"/>
          <w:szCs w:val="20"/>
        </w:rPr>
        <w:t xml:space="preserve"> HLA A26, B4002, B4006 y B4801 parecen estar genéticamente más predispuestos a desarrollar </w:t>
      </w:r>
      <w:r>
        <w:rPr>
          <w:rFonts w:ascii="Arial" w:hAnsi="Arial" w:cs="Arial"/>
          <w:sz w:val="20"/>
          <w:szCs w:val="20"/>
        </w:rPr>
        <w:t xml:space="preserve">la neoplasia </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"10.1016/j.ad.2017.08.014", "ISSN" : "15782190", "author" : [ { "dropping-particle" : "", "family" : "Rodr\u00edguez-Z\u00fa\u00f1iga", "given" : "M. J.M.", "non-dropping-particle" : "", "parse-names" : false, "suffix" : "" }, { "dropping-particle" : "", "family" : "Cortez-Franco", "given" : "F.", "non-dropping-particle" : "", "parse-names" : false, "suffix" : "" }, { "dropping-particle" : "", "family" : "Qujiano-Gomero", "given" : "E.", "non-dropping-particle" : "", "parse-names" : false, "suffix" : "" } ], "container-title" : "Actas dermo-sifiliograficas", "id" : "ITEM-1", "issue" : "5", "issued" : { "date-parts" : [ [ "2018" ] ] }, "page" : "399-407", "title" : "Leucemia/linfoma de c\u00e9lulas T del adulto. Revisi\u00f3n de la literatura cient\u00edfica", "type" : "article-journal", "volume" : "109" }, "uris" : [ "http://www.mendeley.com/documents/?uuid=589c2abe-0e19-4735-b2a4-cd726907afea", "http://www.mendeley.com/documents/?uuid=2fa3d933-6367-43be-b9d0-4c3e14cb461c" ] } ], "mendeley" : { "formattedCitation" : "(10)", "plainTextFormattedCitation" : "(10)", "previouslyFormattedCitation" : "(10)" }, "properties" : {  }, "schema" : "https://github.com/citation-style-language/schema/raw/master/csl-citation.json" }</w:instrText>
      </w:r>
      <w:r>
        <w:rPr>
          <w:rFonts w:ascii="Arial" w:hAnsi="Arial" w:cs="Arial"/>
          <w:sz w:val="20"/>
          <w:szCs w:val="20"/>
        </w:rPr>
        <w:fldChar w:fldCharType="separate"/>
      </w:r>
      <w:r w:rsidRPr="00D83DC7">
        <w:rPr>
          <w:rFonts w:ascii="Arial" w:hAnsi="Arial" w:cs="Arial"/>
          <w:noProof/>
          <w:sz w:val="20"/>
          <w:szCs w:val="20"/>
        </w:rPr>
        <w:t>(10)</w:t>
      </w:r>
      <w:r>
        <w:rPr>
          <w:rFonts w:ascii="Arial" w:hAnsi="Arial" w:cs="Arial"/>
          <w:sz w:val="20"/>
          <w:szCs w:val="20"/>
        </w:rPr>
        <w:fldChar w:fldCharType="end"/>
      </w:r>
      <w:r>
        <w:rPr>
          <w:rFonts w:ascii="Arial" w:hAnsi="Arial" w:cs="Arial"/>
          <w:sz w:val="20"/>
          <w:szCs w:val="20"/>
        </w:rPr>
        <w:t>.</w:t>
      </w:r>
    </w:p>
    <w:p w14:paraId="402F53D2" w14:textId="77777777" w:rsidR="00696B1D" w:rsidRDefault="00696B1D" w:rsidP="00D50373">
      <w:pPr>
        <w:ind w:firstLine="708"/>
        <w:jc w:val="both"/>
        <w:rPr>
          <w:rFonts w:ascii="Arial" w:hAnsi="Arial" w:cs="Arial"/>
          <w:sz w:val="20"/>
          <w:szCs w:val="20"/>
        </w:rPr>
      </w:pPr>
    </w:p>
    <w:p w14:paraId="72AF7E38" w14:textId="5234F1DC" w:rsidR="00696B1D" w:rsidRPr="00520101" w:rsidRDefault="00696B1D" w:rsidP="00520101">
      <w:pPr>
        <w:jc w:val="both"/>
        <w:rPr>
          <w:rFonts w:ascii="Arial" w:hAnsi="Arial" w:cs="Arial"/>
          <w:sz w:val="20"/>
          <w:szCs w:val="20"/>
        </w:rPr>
      </w:pPr>
      <w:r>
        <w:rPr>
          <w:rFonts w:ascii="Arial" w:hAnsi="Arial" w:cs="Arial"/>
          <w:sz w:val="20"/>
          <w:szCs w:val="20"/>
        </w:rPr>
        <w:t xml:space="preserve">Clínicamente, cada subtipo de ATLL reúne una serie de características que le dan su definición, donde la variante aguda presenta leucocitosis y linfocitos atípicos asociado o no a otras presentaciones de compromiso sistémico. La variante </w:t>
      </w:r>
      <w:proofErr w:type="spellStart"/>
      <w:r>
        <w:rPr>
          <w:rFonts w:ascii="Arial" w:hAnsi="Arial" w:cs="Arial"/>
          <w:sz w:val="20"/>
          <w:szCs w:val="20"/>
        </w:rPr>
        <w:t>linfomatosa</w:t>
      </w:r>
      <w:proofErr w:type="spellEnd"/>
      <w:r>
        <w:rPr>
          <w:rFonts w:ascii="Arial" w:hAnsi="Arial" w:cs="Arial"/>
          <w:sz w:val="20"/>
          <w:szCs w:val="20"/>
        </w:rPr>
        <w:t xml:space="preserve"> se caracteriza por presentar compromiso ganglionar. La variante crónica suele tener compromiso cutáneo y criterios </w:t>
      </w:r>
      <w:proofErr w:type="spellStart"/>
      <w:r>
        <w:rPr>
          <w:rFonts w:ascii="Arial" w:hAnsi="Arial" w:cs="Arial"/>
          <w:sz w:val="20"/>
          <w:szCs w:val="20"/>
        </w:rPr>
        <w:t>laboratoriales</w:t>
      </w:r>
      <w:proofErr w:type="spellEnd"/>
      <w:r>
        <w:rPr>
          <w:rFonts w:ascii="Arial" w:hAnsi="Arial" w:cs="Arial"/>
          <w:sz w:val="20"/>
          <w:szCs w:val="20"/>
        </w:rPr>
        <w:t xml:space="preserve"> en tanto que la variante </w:t>
      </w:r>
      <w:proofErr w:type="spellStart"/>
      <w:r w:rsidRPr="00E634E3">
        <w:rPr>
          <w:rFonts w:ascii="Arial" w:hAnsi="Arial" w:cs="Arial"/>
          <w:iCs/>
          <w:sz w:val="20"/>
          <w:szCs w:val="20"/>
        </w:rPr>
        <w:t>smoldering</w:t>
      </w:r>
      <w:proofErr w:type="spellEnd"/>
      <w:r>
        <w:rPr>
          <w:rFonts w:ascii="Arial" w:hAnsi="Arial" w:cs="Arial"/>
          <w:sz w:val="20"/>
          <w:szCs w:val="20"/>
        </w:rPr>
        <w:t xml:space="preserve">, reúne presencia de menos del </w:t>
      </w:r>
      <w:r w:rsidRPr="00D83DC7">
        <w:rPr>
          <w:rFonts w:ascii="Arial" w:hAnsi="Arial" w:cs="Arial"/>
          <w:sz w:val="20"/>
          <w:szCs w:val="20"/>
        </w:rPr>
        <w:t xml:space="preserve">5% de células neoplásicas circulantes y ausencia de hipercalcemia u </w:t>
      </w:r>
      <w:proofErr w:type="spellStart"/>
      <w:r w:rsidRPr="00D83DC7">
        <w:rPr>
          <w:rFonts w:ascii="Arial" w:hAnsi="Arial" w:cs="Arial"/>
          <w:sz w:val="20"/>
          <w:szCs w:val="20"/>
        </w:rPr>
        <w:t>organomegalia</w:t>
      </w:r>
      <w:proofErr w:type="spellEnd"/>
      <w:r w:rsidRPr="00D83DC7">
        <w:rPr>
          <w:rFonts w:ascii="Arial" w:hAnsi="Arial" w:cs="Arial"/>
          <w:sz w:val="20"/>
          <w:szCs w:val="20"/>
        </w:rPr>
        <w:t xml:space="preserve"> asociadas</w:t>
      </w:r>
      <w:r>
        <w:rPr>
          <w:rFonts w:ascii="Arial" w:hAnsi="Arial" w:cs="Arial"/>
          <w:sz w:val="20"/>
          <w:szCs w:val="20"/>
        </w:rPr>
        <w:t xml:space="preserve">, no </w:t>
      </w:r>
      <w:proofErr w:type="gramStart"/>
      <w:r>
        <w:rPr>
          <w:rFonts w:ascii="Arial" w:hAnsi="Arial" w:cs="Arial"/>
          <w:sz w:val="20"/>
          <w:szCs w:val="20"/>
        </w:rPr>
        <w:t>obstante</w:t>
      </w:r>
      <w:proofErr w:type="gramEnd"/>
      <w:r>
        <w:rPr>
          <w:rFonts w:ascii="Arial" w:hAnsi="Arial" w:cs="Arial"/>
          <w:sz w:val="20"/>
          <w:szCs w:val="20"/>
        </w:rPr>
        <w:t xml:space="preserve"> </w:t>
      </w:r>
      <w:r w:rsidRPr="00520101">
        <w:rPr>
          <w:rFonts w:ascii="Arial" w:hAnsi="Arial" w:cs="Arial"/>
          <w:sz w:val="20"/>
          <w:szCs w:val="20"/>
        </w:rPr>
        <w:t>tiene un riesgo de hasta 25% de transformación a fase aguda</w:t>
      </w:r>
      <w:r w:rsidR="00E634E3" w:rsidRPr="00520101">
        <w:rPr>
          <w:rFonts w:ascii="Arial" w:hAnsi="Arial" w:cs="Arial"/>
          <w:sz w:val="20"/>
          <w:szCs w:val="20"/>
        </w:rPr>
        <w:t>.</w:t>
      </w:r>
      <w:r w:rsidRPr="00520101">
        <w:rPr>
          <w:rFonts w:ascii="Arial" w:hAnsi="Arial" w:cs="Arial"/>
          <w:sz w:val="20"/>
          <w:szCs w:val="20"/>
        </w:rPr>
        <w:fldChar w:fldCharType="begin" w:fldLock="1"/>
      </w:r>
      <w:r w:rsidR="00F60C8B" w:rsidRPr="00520101">
        <w:rPr>
          <w:rFonts w:ascii="Arial" w:hAnsi="Arial" w:cs="Arial"/>
          <w:sz w:val="20"/>
          <w:szCs w:val="20"/>
        </w:rPr>
        <w:instrText>ADDIN CSL_CITATION { "citationItems" : [ { "id" : "ITEM-1", "itemData" : { "DOI" : "10.1182/blood-2011-03-345702", "ISSN" : "00064971", "abstract" : "Adult T-cell leukemia/lymphoma (ATL) is an aggressive malignancy of mature activated T cells caused by human T-cell lymphotropic virus type I. ATL carries a bad prognosis because of intrinsic chemoresistance and severe immunosuppression. In acuteATL, Japanese trials demonstrated that although combinations of chemotherapy improved response rate, they failed to achieve a significant impact on survival. Patients with chronic and smoldering ATL have a better prognosis, but long-term survival is poor when these patients are managed with a watchful-waiting policy or with chemotherapy. Recently, a worldwide meta-analysis revealed that the combination of zidovudine and IFN-\u03b1 is highly effective in the leukemic subtypes of ATL and should be considered as standard first-line therapy in that setting. This combination has changed the natural history of the disease through achievement of significantly improved long-term survival in patients with smoldering and chronic ATL as well as a subset of patients with acute ATL. ATL lymphoma patients still benefit from chemotherapy induction with concurrent or sequential antiretroviral therapy with zidovudine/IFN. To prevent relapse, clinical trials assessing consolidative targeted therapies such as arsenic/IFN combination or novel monoclonal antibodies are needed. Finally, allogeneic BM transplantation should be considered in suitable patients. \u00a9 2011 by The American Society of Hematology.", "author" : [ { "dropping-particle" : "", "family" : "Bazarbachi", "given" : "Ali", "non-dropping-particle" : "", "parse-names" : false, "suffix" : "" }, { "dropping-particle" : "", "family" : "Suarez", "given" : "Felipe", "non-dropping-particle" : "", "parse-names" : false, "suffix" : "" }, { "dropping-particle" : "", "family" : "Fields", "given" : "Paul", "non-dropping-particle" : "", "parse-names" : false, "suffix" : "" }, { "dropping-particle" : "", "family" : "Hermine", "given" : "Olivier", "non-dropping-particle" : "", "parse-names" : false, "suffix" : "" } ], "container-title" : "Blood", "id" : "ITEM-1", "issue" : "7", "issued" : { "date-parts" : [ [ "2011" ] ] }, "page" : "1736-1745", "title" : "How I treat adult T-cell leukemia/lymphoma", "type" : "article-journal", "volume" : "118" }, "uris" : [ "http://www.mendeley.com/documents/?uuid=78003bd9-99c2-4f2d-a62a-3190ac0cc8a2", "http://www.mendeley.com/documents/?uuid=8e4af0d3-f5f5-474c-9185-9cdc5c98fbc0" ] }, { "id" : "ITEM-2", "itemData" : { "DOI" : "10.1053/j.semdp.2019.12.006", "ISSN" : "19301111", "abstract" : "Adult T-cell leukemia/lymphoma (ATLL) is a mature T-cell lymphoproliferative disorder associated with the human T lymphotropic virus (HTLV-1) infection. ATLL predominantly affects individuals within HTLV-1 endemic areas such as Japan, areas of Africa, South America, and the Caribbean. HTLV-1 preferentially infects CD4+ T-cells, and several genetic hits must occur before ATLL develops. ATLL is classically divided into four clinical variants based on manifestations of disease: acute, chronic, lymphomatous, and smouldering. As of 2019, a new subtype has been described: lymphoma type of ATL, extranodal primary cutaneous. In this review, emphasis will be taken to describe the common clinicopathologic manifestations of the disease, advances in biomarker discovery, mutational landscape and targeted therapeutic approaches to treat this highly aggressive and frequently lethal type of T-cell lymphoma.", "author" : [ { "dropping-particle" : "", "family" : "Adkins", "given" : "Brian D.", "non-dropping-particle" : "", "parse-names" : false, "suffix" : "" }, { "dropping-particle" : "", "family" : "Ramos", "given" : "Juan C.", "non-dropping-particle" : "", "parse-names" : false, "suffix" : "" }, { "dropping-particle" : "", "family" : "Bliss-Moreau", "given" : "Meghan", "non-dropping-particle" : "", "parse-names" : false, "suffix" : "" }, { "dropping-particle" : "", "family" : "Gru", "given" : "Alejandro A.", "non-dropping-particle" : "", "parse-names" : false, "suffix" : "" } ], "container-title" : "Seminars in Diagnostic Pathology", "id" : "ITEM-2", "issue" : "1", "issued" : { "date-parts" : [ [ "2020" ] ] }, "page" : "1-10", "publisher" : "Elsevier", "title" : "Updates in lymph node and skin pathology of adult T-cell leukemia/lymphoma, biomarkers, and beyond", "type" : "article-journal", "volume" : "37" }, "uris" : [ "http://www.mendeley.com/documents/?uuid=97386c2a-076f-4f4a-a4a0-cb02312dba15", "http://www.mendeley.com/documents/?uuid=c1dcb411-6f3f-4b78-998e-344e8cda8b46" ] }, { "id" : "ITEM-3", "itemData" : { "DOI" : "10.1016/j.ad.2017.08.014", "ISSN" : "15782190", "author" : [ { "dropping-particle" : "", "family" : "Rodr\u00edguez-Z\u00fa\u00f1iga", "given" : "M. J.M.", "non-dropping-particle" : "", "parse-names" : false, "suffix" : "" }, { "dropping-particle" : "", "family" : "Cortez-Franco", "given" : "F.", "non-dropping-particle" : "", "parse-names" : false, "suffix" : "" }, { "dropping-particle" : "", "family" : "Qujiano-Gomero", "given" : "E.", "non-dropping-particle" : "", "parse-names" : false, "suffix" : "" } ], "container-title" : "Actas dermo-sifiliograficas", "id" : "ITEM-3", "issue" : "5", "issued" : { "date-parts" : [ [ "2018" ] ] }, "page" : "399-407", "title" : "Leucemia/linfoma de c\u00e9lulas T del adulto. Revisi\u00f3n de la literatura cient\u00edfica", "type" : "article-journal", "volume" : "109" }, "uris" : [ "http://www.mendeley.com/documents/?uuid=2fa3d933-6367-43be-b9d0-4c3e14cb461c", "http://www.mendeley.com/documents/?uuid=589c2abe-0e19-4735-b2a4-cd726907afea" ] } ], "mendeley" : { "formattedCitation" : "(10\u201312)", "plainTextFormattedCitation" : "(10\u201312)", "previouslyFormattedCitation" : "(10\u201312)" }, "properties" : {  }, "schema" : "https://github.com/citation-style-language/schema/raw/master/csl-citation.json" }</w:instrText>
      </w:r>
      <w:r w:rsidRPr="00520101">
        <w:rPr>
          <w:rFonts w:ascii="Arial" w:hAnsi="Arial" w:cs="Arial"/>
          <w:sz w:val="20"/>
          <w:szCs w:val="20"/>
        </w:rPr>
        <w:fldChar w:fldCharType="separate"/>
      </w:r>
      <w:r w:rsidRPr="00520101">
        <w:rPr>
          <w:rFonts w:ascii="Arial" w:hAnsi="Arial" w:cs="Arial"/>
          <w:noProof/>
          <w:sz w:val="20"/>
          <w:szCs w:val="20"/>
        </w:rPr>
        <w:t>(10–12)</w:t>
      </w:r>
      <w:r w:rsidRPr="00520101">
        <w:rPr>
          <w:rFonts w:ascii="Arial" w:hAnsi="Arial" w:cs="Arial"/>
          <w:sz w:val="20"/>
          <w:szCs w:val="20"/>
        </w:rPr>
        <w:fldChar w:fldCharType="end"/>
      </w:r>
    </w:p>
    <w:p w14:paraId="3A29BB28" w14:textId="77777777" w:rsidR="00913B46" w:rsidRPr="00520101" w:rsidRDefault="00913B46" w:rsidP="00520101">
      <w:pPr>
        <w:jc w:val="both"/>
        <w:rPr>
          <w:rFonts w:ascii="Arial" w:hAnsi="Arial" w:cs="Arial"/>
          <w:sz w:val="20"/>
          <w:szCs w:val="20"/>
        </w:rPr>
      </w:pPr>
    </w:p>
    <w:p w14:paraId="6DFDC9B1" w14:textId="304C5A23" w:rsidR="00913B46" w:rsidRPr="00520101" w:rsidRDefault="00520101" w:rsidP="00520101">
      <w:pPr>
        <w:jc w:val="both"/>
        <w:rPr>
          <w:rFonts w:ascii="Arial" w:eastAsia="Times New Roman" w:hAnsi="Arial" w:cs="Arial"/>
          <w:sz w:val="20"/>
          <w:szCs w:val="20"/>
        </w:rPr>
      </w:pPr>
      <w:r w:rsidRPr="00520101">
        <w:rPr>
          <w:rFonts w:ascii="Arial" w:eastAsia="Times New Roman" w:hAnsi="Arial" w:cs="Arial"/>
          <w:sz w:val="20"/>
          <w:szCs w:val="20"/>
        </w:rPr>
        <w:t>El compromiso cutáneo se observa en casi la mitad de todos los pacie</w:t>
      </w:r>
      <w:r w:rsidR="000B2093">
        <w:rPr>
          <w:rFonts w:ascii="Arial" w:eastAsia="Times New Roman" w:hAnsi="Arial" w:cs="Arial"/>
          <w:sz w:val="20"/>
          <w:szCs w:val="20"/>
        </w:rPr>
        <w:t>ntes</w:t>
      </w:r>
      <w:r w:rsidRPr="00520101">
        <w:rPr>
          <w:rFonts w:ascii="Arial" w:eastAsia="Times New Roman" w:hAnsi="Arial" w:cs="Arial"/>
          <w:sz w:val="20"/>
          <w:szCs w:val="20"/>
        </w:rPr>
        <w:t>, pudiendo ser estas polimó</w:t>
      </w:r>
      <w:r w:rsidR="000B2093">
        <w:rPr>
          <w:rFonts w:ascii="Arial" w:eastAsia="Times New Roman" w:hAnsi="Arial" w:cs="Arial"/>
          <w:sz w:val="20"/>
          <w:szCs w:val="20"/>
        </w:rPr>
        <w:t>rficas (</w:t>
      </w:r>
      <w:r w:rsidRPr="00520101">
        <w:rPr>
          <w:rFonts w:ascii="Arial" w:eastAsia="Times New Roman" w:hAnsi="Arial" w:cs="Arial"/>
          <w:sz w:val="20"/>
          <w:szCs w:val="20"/>
        </w:rPr>
        <w:t xml:space="preserve">maculas, manchas, nódulos, tumores, púrpura y </w:t>
      </w:r>
      <w:proofErr w:type="spellStart"/>
      <w:r w:rsidRPr="00520101">
        <w:rPr>
          <w:rFonts w:ascii="Arial" w:eastAsia="Times New Roman" w:hAnsi="Arial" w:cs="Arial"/>
          <w:sz w:val="20"/>
          <w:szCs w:val="20"/>
        </w:rPr>
        <w:t>eritrodérmia</w:t>
      </w:r>
      <w:proofErr w:type="spellEnd"/>
      <w:r w:rsidRPr="00520101">
        <w:rPr>
          <w:rFonts w:ascii="Arial" w:eastAsia="Times New Roman" w:hAnsi="Arial" w:cs="Arial"/>
          <w:sz w:val="20"/>
          <w:szCs w:val="20"/>
        </w:rPr>
        <w:t>) y dependien</w:t>
      </w:r>
      <w:r w:rsidR="000B2093">
        <w:rPr>
          <w:rFonts w:ascii="Arial" w:eastAsia="Times New Roman" w:hAnsi="Arial" w:cs="Arial"/>
          <w:sz w:val="20"/>
          <w:szCs w:val="20"/>
        </w:rPr>
        <w:t>do</w:t>
      </w:r>
      <w:r w:rsidRPr="00520101">
        <w:rPr>
          <w:rFonts w:ascii="Arial" w:eastAsia="Times New Roman" w:hAnsi="Arial" w:cs="Arial"/>
          <w:sz w:val="20"/>
          <w:szCs w:val="20"/>
        </w:rPr>
        <w:t xml:space="preserve"> de cada tipo es posible predecir el pronó</w:t>
      </w:r>
      <w:r w:rsidR="000B2093">
        <w:rPr>
          <w:rFonts w:ascii="Arial" w:eastAsia="Times New Roman" w:hAnsi="Arial" w:cs="Arial"/>
          <w:sz w:val="20"/>
          <w:szCs w:val="20"/>
        </w:rPr>
        <w:t>stico</w:t>
      </w:r>
      <w:r w:rsidR="00111EA9">
        <w:rPr>
          <w:rFonts w:ascii="Arial" w:eastAsia="Times New Roman" w:hAnsi="Arial" w:cs="Arial"/>
          <w:sz w:val="20"/>
          <w:szCs w:val="20"/>
        </w:rPr>
        <w:t>.</w:t>
      </w:r>
      <w:r w:rsidR="00111EA9">
        <w:rPr>
          <w:rFonts w:ascii="Arial" w:eastAsia="Times New Roman" w:hAnsi="Arial" w:cs="Arial"/>
          <w:sz w:val="20"/>
          <w:szCs w:val="20"/>
        </w:rPr>
        <w:fldChar w:fldCharType="begin" w:fldLock="1"/>
      </w:r>
      <w:r w:rsidR="00111EA9">
        <w:rPr>
          <w:rFonts w:ascii="Arial" w:eastAsia="Times New Roman" w:hAnsi="Arial" w:cs="Arial"/>
          <w:sz w:val="20"/>
          <w:szCs w:val="20"/>
        </w:rPr>
        <w:instrText>ADDIN CSL_CITATION { "citationItems" : [ { "id" : "ITEM-1", "itemData" : { "DOI" : "10.1053/j.semdp.2019.07.010", "ISSN" : "19301111", "abstract" : "Adult T-cell leukemia/lymphoma (ATLL) is an aggressive peripheral T-cell lymphoma caused by the human T-lymphotropic virus type-1 (HTLV-1). The skin is affected in approximately half of ATLL patients, and it may be the first manifestation of the disease. The skin lesions of ATLL are polymorphous, and depending on the type of skin eruption, it is possible to predict the prognosis of the disease. Besides specific skin lesions, other non-specific lesions and increased risk of cutaneous and systemic infections are observed. In this article, we describe the different skin lesions of ATLL patients (specific, non-specific, and infectious lesions), the different histopathological patterns, and the association of clinicopathological characteristics with prognosis. Recognition of ATLL skin lesions is essential for the correct management and the search for the virus, even in non-endemic regions, where global migration may bring HTLV-1 infected individuals.", "author" : [ { "dropping-particle" : "", "family" : "Miyashiro", "given" : "Denis", "non-dropping-particle" : "", "parse-names" : false, "suffix" : "" }, { "dropping-particle" : "", "family" : "Sanches", "given" : "Jose Antonio", "non-dropping-particle" : "", "parse-names" : false, "suffix" : "" } ], "container-title" : "Seminars in Diagnostic Pathology", "id" : "ITEM-1", "issue" : "2", "issued" : { "date-parts" : [ [ "2020" ] ] }, "page" : "81-91", "title" : "Cutaneous manifestations of adult T-cell leukemia/lymphoma", "type" : "article", "volume" : "37" }, "uris" : [ "http://www.mendeley.com/documents/?uuid=8194bc4f-8a90-424f-b0ae-f6a08e81f3ca" ] } ], "mendeley" : { "formattedCitation" : "(13)", "plainTextFormattedCitation" : "(13)", "previouslyFormattedCitation" : "(13)" }, "properties" : {  }, "schema" : "https://github.com/citation-style-language/schema/raw/master/csl-citation.json" }</w:instrText>
      </w:r>
      <w:r w:rsidR="00111EA9">
        <w:rPr>
          <w:rFonts w:ascii="Arial" w:eastAsia="Times New Roman" w:hAnsi="Arial" w:cs="Arial"/>
          <w:sz w:val="20"/>
          <w:szCs w:val="20"/>
        </w:rPr>
        <w:fldChar w:fldCharType="separate"/>
      </w:r>
      <w:r w:rsidR="00111EA9" w:rsidRPr="00111EA9">
        <w:rPr>
          <w:rFonts w:ascii="Arial" w:eastAsia="Times New Roman" w:hAnsi="Arial" w:cs="Arial"/>
          <w:noProof/>
          <w:sz w:val="20"/>
          <w:szCs w:val="20"/>
        </w:rPr>
        <w:t>(13)</w:t>
      </w:r>
      <w:r w:rsidR="00111EA9">
        <w:rPr>
          <w:rFonts w:ascii="Arial" w:eastAsia="Times New Roman" w:hAnsi="Arial" w:cs="Arial"/>
          <w:sz w:val="20"/>
          <w:szCs w:val="20"/>
        </w:rPr>
        <w:fldChar w:fldCharType="end"/>
      </w:r>
    </w:p>
    <w:p w14:paraId="518A2FDD" w14:textId="77777777" w:rsidR="00696B1D" w:rsidRPr="00520101" w:rsidRDefault="00696B1D" w:rsidP="00D50373">
      <w:pPr>
        <w:ind w:firstLine="708"/>
        <w:jc w:val="both"/>
        <w:rPr>
          <w:rFonts w:ascii="Arial" w:hAnsi="Arial" w:cs="Arial"/>
          <w:sz w:val="20"/>
          <w:szCs w:val="20"/>
        </w:rPr>
      </w:pPr>
    </w:p>
    <w:p w14:paraId="3D5B2580" w14:textId="6F3E4875" w:rsidR="00696B1D" w:rsidRDefault="00696B1D" w:rsidP="00D50373">
      <w:pPr>
        <w:jc w:val="both"/>
        <w:rPr>
          <w:rFonts w:ascii="Arial" w:hAnsi="Arial" w:cs="Arial"/>
          <w:sz w:val="20"/>
          <w:szCs w:val="20"/>
        </w:rPr>
      </w:pPr>
      <w:r>
        <w:rPr>
          <w:rFonts w:ascii="Arial" w:hAnsi="Arial" w:cs="Arial"/>
          <w:sz w:val="20"/>
          <w:szCs w:val="20"/>
        </w:rPr>
        <w:t xml:space="preserve">En el </w:t>
      </w:r>
      <w:proofErr w:type="spellStart"/>
      <w:r>
        <w:rPr>
          <w:rFonts w:ascii="Arial" w:hAnsi="Arial" w:cs="Arial"/>
          <w:sz w:val="20"/>
          <w:szCs w:val="20"/>
        </w:rPr>
        <w:t>inmunofenotipo</w:t>
      </w:r>
      <w:proofErr w:type="spellEnd"/>
      <w:r>
        <w:rPr>
          <w:rFonts w:ascii="Arial" w:hAnsi="Arial" w:cs="Arial"/>
          <w:sz w:val="20"/>
          <w:szCs w:val="20"/>
        </w:rPr>
        <w:t xml:space="preserve"> por </w:t>
      </w:r>
      <w:proofErr w:type="spellStart"/>
      <w:r>
        <w:rPr>
          <w:rFonts w:ascii="Arial" w:hAnsi="Arial" w:cs="Arial"/>
          <w:sz w:val="20"/>
          <w:szCs w:val="20"/>
        </w:rPr>
        <w:t>inmunohistoquímica</w:t>
      </w:r>
      <w:proofErr w:type="spellEnd"/>
      <w:r>
        <w:rPr>
          <w:rFonts w:ascii="Arial" w:hAnsi="Arial" w:cs="Arial"/>
          <w:sz w:val="20"/>
          <w:szCs w:val="20"/>
        </w:rPr>
        <w:t xml:space="preserve">, se considera que el patrón típico es </w:t>
      </w:r>
      <w:r w:rsidRPr="00EE037F">
        <w:rPr>
          <w:rFonts w:ascii="Arial" w:hAnsi="Arial" w:cs="Arial"/>
          <w:sz w:val="20"/>
          <w:szCs w:val="20"/>
        </w:rPr>
        <w:t>CD3+ CD4+ CD25+ CD7−</w:t>
      </w:r>
      <w:r>
        <w:rPr>
          <w:rFonts w:ascii="Arial" w:hAnsi="Arial" w:cs="Arial"/>
          <w:sz w:val="20"/>
          <w:szCs w:val="20"/>
        </w:rPr>
        <w:t xml:space="preserve">; no obstante, esto es sumamente variable según el paciente y su histología.  Se tiene conocimiento, asimismo, de marcadores </w:t>
      </w:r>
      <w:proofErr w:type="spellStart"/>
      <w:r>
        <w:rPr>
          <w:rFonts w:ascii="Arial" w:hAnsi="Arial" w:cs="Arial"/>
          <w:sz w:val="20"/>
          <w:szCs w:val="20"/>
        </w:rPr>
        <w:t>inmunofenotípicos</w:t>
      </w:r>
      <w:proofErr w:type="spellEnd"/>
      <w:r>
        <w:rPr>
          <w:rFonts w:ascii="Arial" w:hAnsi="Arial" w:cs="Arial"/>
          <w:sz w:val="20"/>
          <w:szCs w:val="20"/>
        </w:rPr>
        <w:t xml:space="preserve"> que traducen mayor agresividad como lo son el CCR7+ o el CCR4+, en tanto marcadores como CD127+ evidencian un comportamiento más indolente. En la práctica habitual, es infrecuente la realización de estos marcadores para establecer agresividad o no respecto al comportamiento de la neoplasia</w:t>
      </w:r>
      <w:r w:rsidR="00E634E3">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"10.1002/cam4.928", "ISSN" : "20457634", "abstract" : "Adult T-cell leukemia/lymphoma (ATL), a human T-lymphotropic virus type 1 (HTLV-1)-associated disease, has a highly variable clinical course and four subtypes with therapeutic and prognostic implications. However, there are overlapping features between ATL subtypes and between ATL and nonmalignant (non-ATL) HTLV-1 infection complicating diagnosis and prognostication. To further refine the diagnosis and prognosis of ATL, we characterized the immunophenotype of HTLV-1-infected cells in ATL and non-ATL. A retrospective study of peripheral blood samples from 10 HTLV-1-uninfected subjects (UI), 54 HTLV-1-infected patients with non-ATL, and 22 with ATL was performed using flow cytometry. All patients with ATL had CD4+\u00a0CCR4+\u00a0CD26\u2212 immunophenotype and the frequency of CD4+\u00a0CCR4+\u00a0CD26\u2212 T cells correlated highly significantly with the proviral load in non-ATL suggesting CD4+\u00a0CCR4+\u00a0CD26\u2212 as a marker of HTLV-1-infected cells. Further immunophenotyping of CD4+\u00a0CCR4+ CD26\u2212 cells revealed that 95% patients with ATL had a CD7\u2212 (\u226430% CD7+ cells), whereas 95% HTLV+ non-ATL had CD7+ (&gt;30% CD7+ cells) immunophenotype. All patients with aggressive ATL had a CCR7+ (\u226530%), whereas 92% with indolent ATL and 100% non-ATL had a CCR7\u2212 (&lt;30%) immunophenotype. Patients with nonprogressing indolent ATL were CD127+ but those with progressive lymphocytosis requiring systemic therapy had a CD127\u2212 (\u226430%) immunophenotype. In summary, HTLV-1-infected cells have a CD4+\u00a0CCR4+\u00a0CD26\u2212 immunophenotype. Within this population, CD7\u2212 phenotype suggests a diagnosis of ATL, CCR7+ phenotype identifies aggressive ATL, while CCR7\u2212 CD127\u2212 phenotype identifies progressive indolent ATL.", "author" : [ { "dropping-particle" : "", "family" : "Kagdi", "given" : "Huseini H.", "non-dropping-particle" : "", "parse-names" : false, "suffix" : "" }, { "dropping-particle" : "", "family" : "Demontis", "given" : "Maria A.", "non-dropping-particle" : "", "parse-names" : false, "suffix" : "" }, { "dropping-particle" : "", "family" : "Fields", "given" : "Paul A.", "non-dropping-particle" : "", "parse-names" : false, "suffix" : "" }, { "dropping-particle" : "", "family" : "Ramos", "given" : "Juan Carlos", "non-dropping-particle" : "", "parse-names" : false, "suffix" : "" }, { "dropping-particle" : "", "family" : "Bangham", "given" : "Charles R.M.", "non-dropping-particle" : "", "parse-names" : false, "suffix" : "" }, { "dropping-particle" : "", "family" : "Taylor", "given" : "Graham P.", "non-dropping-particle" : "", "parse-names" : false, "suffix" : "" } ], "container-title" : "Cancer Medicine", "id" : "ITEM-1", "issue" : "1", "issued" : { "date-parts" : [ [ "2017" ] ] }, "page" : "298-309", "title" : "Risk stratification of adult T-cell leukemia/lymphoma using immunophenotyping", "type" : "article-journal", "volume" : "6" }, "uris" : [ "http://www.mendeley.com/documents/?uuid=cab590f5-be7b-4445-9b4f-0874849a48ed", "http://www.mendeley.com/documents/?uuid=bf279a76-1592-4be6-a0f7-bc5e199be9df" ] } ], "mendeley" : { "formattedCitation" : "(14)", "plainTextFormattedCitation" : "(14)", "previouslyFormattedCitation" : "(14)"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(14)</w:t>
      </w:r>
      <w:r>
        <w:rPr>
          <w:rFonts w:ascii="Arial" w:hAnsi="Arial" w:cs="Arial"/>
          <w:sz w:val="20"/>
          <w:szCs w:val="20"/>
        </w:rPr>
        <w:fldChar w:fldCharType="end"/>
      </w:r>
    </w:p>
    <w:p w14:paraId="6CBA6EC6" w14:textId="77777777" w:rsidR="00696B1D" w:rsidRPr="00D83DC7" w:rsidRDefault="00696B1D" w:rsidP="00D50373">
      <w:pPr>
        <w:ind w:firstLine="708"/>
        <w:jc w:val="both"/>
        <w:rPr>
          <w:rFonts w:ascii="Arial" w:hAnsi="Arial" w:cs="Arial"/>
          <w:sz w:val="20"/>
          <w:szCs w:val="20"/>
        </w:rPr>
      </w:pPr>
    </w:p>
    <w:p w14:paraId="47388283" w14:textId="32515368" w:rsidR="00696B1D" w:rsidRDefault="00696B1D" w:rsidP="00D50373">
      <w:pPr>
        <w:jc w:val="both"/>
        <w:rPr>
          <w:rFonts w:ascii="Arial" w:hAnsi="Arial" w:cs="Arial"/>
          <w:sz w:val="20"/>
          <w:szCs w:val="20"/>
        </w:rPr>
      </w:pPr>
      <w:r>
        <w:rPr>
          <w:rFonts w:ascii="Arial" w:hAnsi="Arial" w:cs="Arial"/>
          <w:sz w:val="20"/>
          <w:szCs w:val="20"/>
        </w:rPr>
        <w:t xml:space="preserve">En respecto a la estratificación de riesgo, escalas conocidas como el IPI (Índice pronóstico internacional) o el PIT score (Escala </w:t>
      </w:r>
      <w:proofErr w:type="spellStart"/>
      <w:r>
        <w:rPr>
          <w:rFonts w:ascii="Arial" w:hAnsi="Arial" w:cs="Arial"/>
          <w:sz w:val="20"/>
          <w:szCs w:val="20"/>
        </w:rPr>
        <w:t>pronóstica</w:t>
      </w:r>
      <w:proofErr w:type="spellEnd"/>
      <w:r>
        <w:rPr>
          <w:rFonts w:ascii="Arial" w:hAnsi="Arial" w:cs="Arial"/>
          <w:sz w:val="20"/>
          <w:szCs w:val="20"/>
        </w:rPr>
        <w:t xml:space="preserve"> para Linfoma de células T periférico) que combinan parámetros de edad, aumento de lactato deshidrogenasa (LDH), status performance o ECOG, </w:t>
      </w:r>
      <w:proofErr w:type="spellStart"/>
      <w:r>
        <w:rPr>
          <w:rFonts w:ascii="Arial" w:hAnsi="Arial" w:cs="Arial"/>
          <w:sz w:val="20"/>
          <w:szCs w:val="20"/>
        </w:rPr>
        <w:t>estadío</w:t>
      </w:r>
      <w:proofErr w:type="spellEnd"/>
      <w:r>
        <w:rPr>
          <w:rFonts w:ascii="Arial" w:hAnsi="Arial" w:cs="Arial"/>
          <w:sz w:val="20"/>
          <w:szCs w:val="20"/>
        </w:rPr>
        <w:t xml:space="preserve"> clínico y compromiso </w:t>
      </w:r>
      <w:proofErr w:type="spellStart"/>
      <w:r>
        <w:rPr>
          <w:rFonts w:ascii="Arial" w:hAnsi="Arial" w:cs="Arial"/>
          <w:sz w:val="20"/>
          <w:szCs w:val="20"/>
        </w:rPr>
        <w:t>extranodal</w:t>
      </w:r>
      <w:proofErr w:type="spellEnd"/>
      <w:r>
        <w:rPr>
          <w:rFonts w:ascii="Arial" w:hAnsi="Arial" w:cs="Arial"/>
          <w:sz w:val="20"/>
          <w:szCs w:val="20"/>
        </w:rPr>
        <w:t xml:space="preserve"> (específicamente de médula ósea en el PIT score), han sido evaluadas en población peruana</w:t>
      </w:r>
      <w:r w:rsidR="00E634E3">
        <w:rPr>
          <w:rFonts w:ascii="Arial" w:hAnsi="Arial" w:cs="Arial"/>
          <w:sz w:val="20"/>
          <w:szCs w:val="20"/>
        </w:rPr>
        <w:t>.</w:t>
      </w:r>
      <w:r>
        <w:rPr>
          <w:rFonts w:ascii="Arial" w:hAnsi="Arial" w:cs="Arial"/>
          <w:sz w:val="20"/>
          <w:szCs w:val="20"/>
        </w:rPr>
        <w:fldChar w:fldCharType="begin" w:fldLock="1"/>
      </w:r>
      <w:r w:rsidR="00F60C8B">
        <w:rPr>
          <w:rFonts w:ascii="Arial" w:hAnsi="Arial" w:cs="Arial"/>
          <w:sz w:val="20"/>
          <w:szCs w:val="20"/>
        </w:rPr>
        <w:instrText>ADDIN CSL_CITATION { "citationItems" : [ { "id" : "ITEM-1", "itemData" : { "DOI" : "10.1016/j.leukres.2010.08.006", "ISSN" : "01452126", "abstract" : "Introduction: Adult T-cell leukemia/lymphoma (ATLL) is a clinically aggressive and heterogeneous entity; hence it is likely that different variants of ATLL have different prognostic factors. Methods: 95 patients with ATLL seen at our institution between 1987 and 2008 were included. Clinical data were compared, according to ATLL variant, using the Mann-Whitney and the Chi-square tests for continuous and categorical variables, respectively. Kaplan-Meier estimates compared using the log-rank test and Cox proportional-hazard test were used for the univariate and multivariate analysis, respectively. Results: Median age was 61 years with male-to-female ratio of 1.07:1. Patients with acute ATLL were more likely to present with bone marrow, liver and spleen involvement, higher \u03b22-microglobulin and lower albumin levels. Poor performance status, high IPI score, presence of B symptoms, high LDH and low albumin levels were associated with a worse survival in lymphomatous ATLL. High LDH, high \u03b22-microglobulin and high PIT score were associated with worse survival in acute ATLL. In the multivariate analysis, low albumin level and presence of B symptoms were independent factors for worse survival in lymphomatous ATLL, and high \u03b22-microglobulin level was independent factor for worse survival in acute ATLL. Conclusions: Aggressive ATLL variants have a distinct, almost mutually exclusive profile of prognostic factors. \u00a9 2010 Elsevier Ltd.", "author" : [ { "dropping-particle" : "", "family" : "Beltran", "given" : "Brady", "non-dropping-particle" : "", "parse-names" : false, "suffix" : "" }, { "dropping-particle" : "", "family" : "Qui\u00f1ones", "given" : "Pilar", "non-dropping-particle" : "", "parse-names" : false, "suffix" : "" }, { "dropping-particle" : "", "family" : "Morales", "given" : "Domingo", "non-dropping-particle" : "", "parse-names" : false, "suffix" : "" }, { "dropping-particle" : "", "family" : "Cotrina", "given" : "Esther", "non-dropping-particle" : "", "parse-names" : false, "suffix" : "" }, { "dropping-particle" : "", "family" : "Castillo", "given" : "Jorge J.", "non-dropping-particle" : "", "parse-names" : false, "suffix" : "" } ], "container-title" : "Leukemia Research", "id" : "ITEM-1", "issue" : "3", "issued" : { "date-parts" : [ [ "2011" ] ] }, "page" : "334-339", "title" : "Different prognostic factors for survival in acute and lymphomatous adult T-cell leukemia/lymphoma", "type" : "article-journal", "volume" : "35" }, "uris" : [ "http://www.mendeley.com/documents/?uuid=e60302cf-b9c1-417b-a426-a6c3f406d2bb" ] } ], "mendeley" : { "formattedCitation" : "(3)", "plainTextFormattedCitation" : "(3)", "previouslyFormattedCitation" : "(3)" }, "properties" : {  }, "schema" : "https://github.com/citation-style-language/schema/raw/master/csl-citation.json" }</w:instrText>
      </w:r>
      <w:r>
        <w:rPr>
          <w:rFonts w:ascii="Arial" w:hAnsi="Arial" w:cs="Arial"/>
          <w:sz w:val="20"/>
          <w:szCs w:val="20"/>
        </w:rPr>
        <w:fldChar w:fldCharType="separate"/>
      </w:r>
      <w:r w:rsidRPr="00F04E64">
        <w:rPr>
          <w:rFonts w:ascii="Arial" w:hAnsi="Arial" w:cs="Arial"/>
          <w:noProof/>
          <w:sz w:val="20"/>
          <w:szCs w:val="20"/>
        </w:rPr>
        <w:t>(3)</w:t>
      </w:r>
      <w:r>
        <w:rPr>
          <w:rFonts w:ascii="Arial" w:hAnsi="Arial" w:cs="Arial"/>
          <w:sz w:val="20"/>
          <w:szCs w:val="20"/>
        </w:rPr>
        <w:fldChar w:fldCharType="end"/>
      </w:r>
      <w:r>
        <w:rPr>
          <w:rFonts w:ascii="Arial" w:hAnsi="Arial" w:cs="Arial"/>
          <w:sz w:val="20"/>
          <w:szCs w:val="20"/>
        </w:rPr>
        <w:t xml:space="preserve"> Por su parte, el grupo japonés también ha </w:t>
      </w:r>
      <w:r>
        <w:rPr>
          <w:rFonts w:ascii="Arial" w:hAnsi="Arial" w:cs="Arial"/>
          <w:sz w:val="20"/>
          <w:szCs w:val="20"/>
        </w:rPr>
        <w:lastRenderedPageBreak/>
        <w:t>validado parámetros pronósticos elaborando una escala propia usando el status performance o ECOG y la hipercalcemia</w:t>
      </w:r>
      <w:r w:rsidR="00E634E3">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"10.1111/bjh.12962", "ISSN" : "1365-2141 (Electronic)", "PMID" : "24931507", "abstract" : "This study evaluated the clinical features of 276 patients with aggressive adult  T-cell leukaemia-lymphoma (ATL) in 3 Japan Clinical Oncology Group (JCOG) trials. We assessed the long-term survivors who survived &gt;5 years and constructed a prognostic index (PI), named the JCOG-PI, based on covariates obtained by Cox regression analysis. The median survival time (MST) of the entire cohort was 11 months. In 37 patients who survived &gt;5 years, no disease-related deaths in 10 patients with lymphoma-type were observed in contrast to the 10 ATL-related deaths in other types. In multivariate analysis of 193 patients, the JCOG-PI based on corrected calcium levels and performance status identified moderate and high risk groups with an MST of 14 and 8 months respectively (hazard ratio, 1.926). The JCOG-PI was reproducible in an external validation. Patients with lymphoma-type who survived &gt;5 years might have been cured. The JCOG-PI is valuable for identifying patients with extremely poor prognosis and will be useful for the design of future trials combining new drugs or investigational treatment strategies.", "author" : [ { "dropping-particle" : "", "family" : "Fukushima", "given" : "Takuya", "non-dropping-particle" : "", "parse-names" : false, "suffix" : "" }, { "dropping-particle" : "", "family" : "Nomura", "given" : "Shogo", "non-dropping-particle" : "", "parse-names" : false, "suffix" : "" }, { "dropping-particle" : "", "family" : "Shimoyama", "given" : "Masanori", "non-dropping-particle" : "", "parse-names" : false, "suffix" : "" }, { "dropping-particle" : "", "family" : "Shibata", "given" : "Taro", "non-dropping-particle" : "", "parse-names" : false, "suffix" : "" }, { "dropping-particle" : "", "family" : "Imaizumi", "given" : "Yoshitaka", "non-dropping-particle" : "", "parse-names" : false, "suffix" : "" }, { "dropping-particle" : "", "family" : "Moriuchi", "given" : "Yoshiyuki", "non-dropping-particle" : "", "parse-names" : false, "suffix" : "" }, { "dropping-particle" : "", "family" : "Tomoyose", "given" : "Takeaki", "non-dropping-particle" : "", "parse-names" : false, "suffix" : "" }, { "dropping-particle" : "", "family" : "Uozumi", "given" : "Kimiharu", "non-dropping-particle" : "", "parse-names" : false, "suffix" : "" }, { "dropping-particle" : "", "family" : "Kobayashi", "given" : "Yukio", "non-dropping-particle" : "", "parse-names" : false, "suffix" : "" }, { "dropping-particle" : "", "family" : "Fukushima", "given" : "Noriyasu", "non-dropping-particle" : "", "parse-names" : false, "suffix" : "" }, { "dropping-particle" : "", "family" : "Utsunomiya", "given" : "Atae", "non-dropping-particle" : "", "parse-names" : false, "suffix" : "" }, { "dropping-particle" : "", "family" : "Tara", "given" : "Mitsutoshi", "non-dropping-particle" : "", "parse-names" : false, "suffix" : "" }, { "dropping-particle" : "", "family" : "Nosaka", "given" : "Kisato", "non-dropping-particle" : "", "parse-names" : false, "suffix" : "" }, { "dropping-particle" : "", "family" : "Hidaka", "given" : "Michihiro", "non-dropping-particle" : "", "parse-names" : false, "suffix" : "" }, { "dropping-particle" : "", "family" : "Uike", "given" : "Naokuni", "non-dropping-particle" : "", "parse-names" : false, "suffix" : "" }, { "dropping-particle" : "", "family" : "Yoshida", "given" : "Shinichiro", "non-dropping-particle" : "", "parse-names" : false, "suffix" : "" }, { "dropping-particle" : "", "family" : "Tamura", "given" : "Kazuo", "non-dropping-particle" : "", "parse-names" : false, "suffix" : "" }, { "dropping-particle" : "", "family" : "Ishitsuka", "given" : "Kenji", "non-dropping-particle" : "", "parse-names" : false, "suffix" : "" }, { "dropping-particle" : "", "family" : "Kurosawa", "given" : "Mitsutoshi", "non-dropping-particle" : "", "parse-names" : false, "suffix" : "" }, { "dropping-particle" : "", "family" : "Nakata", "given" : "Masanobu", "non-dropping-particle" : "", "parse-names" : false, "suffix" : "" }, { "dropping-particle" : "", "family" : "Fukuda", "given" : "Haruhiko", "non-dropping-particle" : "", "parse-names" : false, "suffix" : "" }, { "dropping-particle" : "", "family" : "Hotta", "given" : "Tomomitsu", "non-dropping-particle" : "", "parse-names" : false, "suffix" : "" }, { "dropping-particle" : "", "family" : "Tobinai", "given" : "Kensei", "non-dropping-particle" : "", "parse-names" : false, "suffix" : "" }, { "dropping-particle" : "", "family" : "Tsukasaki", "given" : "Kunihiro", "non-dropping-particle" : "", "parse-names" : false, "suffix" : "" } ], "container-title" : "British journal of haematology", "id" : "ITEM-1", "issue" : "5", "issued" : { "date-parts" : [ [ "2014", "9" ] ] }, "language" : "eng", "page" : "739-748", "publisher-place" : "England", "title" : "Japan Clinical Oncology Group (JCOG) prognostic index and characterization of long-term survivors of aggressive adult T-cell leukaemia-lymphoma (JCOG0902A).", "type" : "article-journal", "volume" : "166" }, "uris" : [ "http://www.mendeley.com/documents/?uuid=4917ce3e-fc02-4daf-8a05-1e470f41cfda", "http://www.mendeley.com/documents/?uuid=6690eb86-2a92-42d2-b615-7f021796f25a" ] } ], "mendeley" : { "formattedCitation" : "(15)", "plainTextFormattedCitation" : "(15)", "previouslyFormattedCitation" : "(15)"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(15)</w:t>
      </w:r>
      <w:r>
        <w:rPr>
          <w:rFonts w:ascii="Arial" w:hAnsi="Arial" w:cs="Arial"/>
          <w:sz w:val="20"/>
          <w:szCs w:val="20"/>
        </w:rPr>
        <w:fldChar w:fldCharType="end"/>
      </w:r>
    </w:p>
    <w:p w14:paraId="00CF813A" w14:textId="77777777" w:rsidR="006961D8" w:rsidRDefault="006961D8" w:rsidP="00D50373">
      <w:pPr>
        <w:jc w:val="both"/>
        <w:rPr>
          <w:rFonts w:ascii="Arial" w:hAnsi="Arial" w:cs="Arial"/>
          <w:sz w:val="20"/>
          <w:szCs w:val="20"/>
        </w:rPr>
      </w:pPr>
    </w:p>
    <w:p w14:paraId="65A79D4B" w14:textId="2DDBA58F" w:rsidR="00CE4465" w:rsidRPr="00CE4465" w:rsidRDefault="006961D8" w:rsidP="006961D8">
      <w:pPr>
        <w:jc w:val="both"/>
        <w:rPr>
          <w:rFonts w:ascii="Arial" w:hAnsi="Arial" w:cs="Arial"/>
          <w:color w:val="000000"/>
          <w:sz w:val="20"/>
          <w:szCs w:val="20"/>
        </w:rPr>
      </w:pPr>
      <w:r w:rsidRPr="00CE4465">
        <w:rPr>
          <w:rFonts w:ascii="Arial" w:hAnsi="Arial" w:cs="Arial"/>
          <w:sz w:val="20"/>
          <w:szCs w:val="20"/>
        </w:rPr>
        <w:t xml:space="preserve">Además, puede coexistir </w:t>
      </w:r>
      <w:r w:rsidR="00233F1D" w:rsidRPr="00CE4465">
        <w:rPr>
          <w:rFonts w:ascii="Arial" w:hAnsi="Arial" w:cs="Arial"/>
          <w:sz w:val="20"/>
          <w:szCs w:val="20"/>
        </w:rPr>
        <w:t>con otras enfermedades asociadas al HTLV-1</w:t>
      </w:r>
      <w:r w:rsidRPr="00CE4465">
        <w:rPr>
          <w:rFonts w:ascii="Arial" w:hAnsi="Arial" w:cs="Arial"/>
          <w:sz w:val="20"/>
          <w:szCs w:val="20"/>
        </w:rPr>
        <w:t xml:space="preserve"> </w:t>
      </w:r>
      <w:r w:rsidR="00CE4465" w:rsidRPr="00CE4465">
        <w:rPr>
          <w:rFonts w:ascii="Arial" w:hAnsi="Arial" w:cs="Arial"/>
          <w:sz w:val="20"/>
          <w:szCs w:val="20"/>
        </w:rPr>
        <w:t xml:space="preserve">como; </w:t>
      </w:r>
      <w:proofErr w:type="spellStart"/>
      <w:r w:rsidRPr="00CE4465">
        <w:rPr>
          <w:rFonts w:ascii="Arial" w:hAnsi="Arial" w:cs="Arial"/>
          <w:color w:val="000000"/>
          <w:sz w:val="20"/>
          <w:szCs w:val="20"/>
        </w:rPr>
        <w:t>paraparesia</w:t>
      </w:r>
      <w:proofErr w:type="spellEnd"/>
      <w:r w:rsidRPr="00CE4465">
        <w:rPr>
          <w:rFonts w:ascii="Arial" w:hAnsi="Arial" w:cs="Arial"/>
          <w:color w:val="000000"/>
          <w:sz w:val="20"/>
          <w:szCs w:val="20"/>
        </w:rPr>
        <w:t xml:space="preserve"> espástica</w:t>
      </w:r>
      <w:r w:rsidR="00CE4465" w:rsidRPr="00CE4465">
        <w:rPr>
          <w:rFonts w:ascii="Arial" w:hAnsi="Arial" w:cs="Arial"/>
          <w:color w:val="000000"/>
          <w:sz w:val="20"/>
          <w:szCs w:val="20"/>
        </w:rPr>
        <w:t xml:space="preserve"> tropical</w:t>
      </w:r>
      <w:r w:rsidRPr="00CE4465">
        <w:rPr>
          <w:rFonts w:ascii="Arial" w:hAnsi="Arial" w:cs="Arial"/>
          <w:color w:val="000000"/>
          <w:sz w:val="20"/>
          <w:szCs w:val="20"/>
        </w:rPr>
        <w:t>,</w:t>
      </w:r>
      <w:r w:rsidRPr="00CE4465">
        <w:rPr>
          <w:rFonts w:ascii="Arial" w:hAnsi="Arial" w:cs="Arial"/>
          <w:color w:val="000000"/>
          <w:sz w:val="20"/>
          <w:szCs w:val="20"/>
        </w:rPr>
        <w:t xml:space="preserve"> síndrome de </w:t>
      </w:r>
      <w:proofErr w:type="spellStart"/>
      <w:r w:rsidRPr="00CE4465">
        <w:rPr>
          <w:rFonts w:ascii="Arial" w:hAnsi="Arial" w:cs="Arial"/>
          <w:color w:val="000000"/>
          <w:sz w:val="20"/>
          <w:szCs w:val="20"/>
        </w:rPr>
        <w:t>Sjogren</w:t>
      </w:r>
      <w:proofErr w:type="spellEnd"/>
      <w:r w:rsidR="00CE4465" w:rsidRPr="00CE4465">
        <w:rPr>
          <w:rFonts w:ascii="Arial" w:hAnsi="Arial" w:cs="Arial"/>
          <w:color w:val="000000"/>
          <w:sz w:val="20"/>
          <w:szCs w:val="20"/>
        </w:rPr>
        <w:t>, dermatitis infectiva, uveítis,</w:t>
      </w:r>
      <w:r w:rsidRPr="00CE4465">
        <w:rPr>
          <w:rFonts w:ascii="Arial" w:hAnsi="Arial" w:cs="Arial"/>
          <w:color w:val="000000"/>
          <w:sz w:val="20"/>
          <w:szCs w:val="20"/>
        </w:rPr>
        <w:t xml:space="preserve"> </w:t>
      </w:r>
      <w:r w:rsidR="00CE4465" w:rsidRPr="00CE4465">
        <w:rPr>
          <w:rFonts w:ascii="Arial" w:hAnsi="Arial" w:cs="Arial"/>
          <w:sz w:val="20"/>
          <w:szCs w:val="20"/>
        </w:rPr>
        <w:t xml:space="preserve">tuberculosis, </w:t>
      </w:r>
      <w:r w:rsidR="00CE4465" w:rsidRPr="00CE4465">
        <w:rPr>
          <w:rFonts w:ascii="Arial" w:hAnsi="Arial" w:cs="Arial"/>
          <w:sz w:val="20"/>
          <w:szCs w:val="20"/>
        </w:rPr>
        <w:t>neumoní</w:t>
      </w:r>
      <w:r w:rsidR="00CE4465" w:rsidRPr="00CE4465">
        <w:rPr>
          <w:rFonts w:ascii="Arial" w:hAnsi="Arial" w:cs="Arial"/>
          <w:sz w:val="20"/>
          <w:szCs w:val="20"/>
        </w:rPr>
        <w:t xml:space="preserve">a por </w:t>
      </w:r>
      <w:proofErr w:type="spellStart"/>
      <w:r w:rsidR="00CE4465" w:rsidRPr="00CE4465">
        <w:rPr>
          <w:rFonts w:ascii="Arial" w:hAnsi="Arial" w:cs="Arial"/>
          <w:sz w:val="20"/>
          <w:szCs w:val="20"/>
        </w:rPr>
        <w:t>p</w:t>
      </w:r>
      <w:r w:rsidR="00CE4465" w:rsidRPr="00CE4465">
        <w:rPr>
          <w:rFonts w:ascii="Arial" w:hAnsi="Arial" w:cs="Arial"/>
          <w:sz w:val="20"/>
          <w:szCs w:val="20"/>
        </w:rPr>
        <w:t>neumocistis</w:t>
      </w:r>
      <w:proofErr w:type="spellEnd"/>
      <w:r w:rsidR="00CE4465" w:rsidRPr="00CE4465">
        <w:rPr>
          <w:rFonts w:ascii="Arial" w:hAnsi="Arial" w:cs="Arial"/>
          <w:sz w:val="20"/>
          <w:szCs w:val="20"/>
        </w:rPr>
        <w:t xml:space="preserve"> </w:t>
      </w:r>
      <w:proofErr w:type="spellStart"/>
      <w:r w:rsidR="00CE4465" w:rsidRPr="00CE4465">
        <w:rPr>
          <w:rFonts w:ascii="Arial" w:hAnsi="Arial" w:cs="Arial"/>
          <w:sz w:val="20"/>
          <w:szCs w:val="20"/>
        </w:rPr>
        <w:t>carnii</w:t>
      </w:r>
      <w:proofErr w:type="spellEnd"/>
      <w:r w:rsidR="00CE4465" w:rsidRPr="00CE4465">
        <w:rPr>
          <w:rFonts w:ascii="Arial" w:hAnsi="Arial" w:cs="Arial"/>
          <w:sz w:val="20"/>
          <w:szCs w:val="20"/>
        </w:rPr>
        <w:t xml:space="preserve"> y </w:t>
      </w:r>
      <w:proofErr w:type="spellStart"/>
      <w:r w:rsidR="00CE4465" w:rsidRPr="00CE4465">
        <w:rPr>
          <w:rFonts w:ascii="Arial" w:hAnsi="Arial" w:cs="Arial"/>
          <w:sz w:val="20"/>
          <w:szCs w:val="20"/>
        </w:rPr>
        <w:t>estrongiloidiasis</w:t>
      </w:r>
      <w:proofErr w:type="spellEnd"/>
      <w:r w:rsidR="00CE4465" w:rsidRPr="00CE4465">
        <w:rPr>
          <w:rFonts w:ascii="Arial" w:hAnsi="Arial" w:cs="Arial"/>
          <w:sz w:val="20"/>
          <w:szCs w:val="20"/>
        </w:rPr>
        <w:t>.</w:t>
      </w:r>
      <w:r w:rsidR="00F60C8B">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"10.12688/f1000research.17479.1", "abstract" : "It has been nearly 40 years since human T-cell leukemia virus-1 (HTLV-1), the first oncogenic retrovirus in humans and the first demonstrable cause of cancer by an infectious agent, was discovered. Studies indicate that HTLV-1 is arguably one of the most carcinogenic agents to humans. In addition, HTLV-1 causes a diverse array of diseases, including myelopathy and immunodeficiency, which cause\u00a0morbidity and mortality to many people in the world, including the indigenous population in Australia, a fact that was emphasized only recently.\u00a0HTLV-1 can be transmitted by infected lymphocytes, from mother to child via breast feeding, by sex, by blood transfusion, and by organ transplant. Therefore, the prevention of HTLV-1 infection is possible but such action has been taken in only a limited part of the world. However, until now it has not been listed by the World Health Organization as a sexually transmitted organism nor, oddly, recognized as an oncogenic virus by the recent list of the National Cancer Institute/National Institutes of Health. Such underestimation of HTLV-1 by health agencies has led to a remarkable lack of funding supporting research and development of treatments and vaccines, causing HTLV-1 to remain a global threat. Nonetheless, there are emerging novel therapeutic and prevention strategies which will help people who have diseases caused by HTLV-1. In this review, we present a brief historic overview of the key events in HTLV-1 research, including its pivotal role in generating ideas of a retrovirus cause of AIDS and in several essential technologies applicable to the discovery of HIV and the unraveling of its genes and their function. This is followed by the status of HTLV-1 research and the preventive and therapeutic developments of today. We also discuss pending issues and remaining challenges to enable the eradication of HTLV-1 in the future.", "author" : [ { "dropping-particle" : "", "family" : "Tagaya", "given" : "Yutaka", "non-dropping-particle" : "", "parse-names" : false, "suffix" : "" }, { "dropping-particle" : "", "family" : "Matsuoka", "given" : "Masao", "non-dropping-particle" : "", "parse-names" : false, "suffix" : "" }, { "dropping-particle" : "", "family" : "Gallo", "given" : "Robert", "non-dropping-particle" : "", "parse-names" : false, "suffix" : "" } ], "container-title" : "F1000Research", "id" : "ITEM-1", "issued" : { "date-parts" : [ [ "2019" ] ] }, "page" : "228", "title" : "40 years of the human T-cell leukemia virus: past, present, and future", "type" : "article-journal", "volume" : "8" }, "uris" : [ "http://www.mendeley.com/documents/?uuid=30de56e9-58c0-4b5d-98eb-b24b625443bc" ] } ], "mendeley" : { "formattedCitation" : "(16)", "plainTextFormattedCitation" : "(16)", "previouslyFormattedCitation" : "(16)" }, "properties" : {  }, "schema" : "https://github.com/citation-style-language/schema/raw/master/csl-citation.json" }</w:instrText>
      </w:r>
      <w:r w:rsidR="00F60C8B">
        <w:rPr>
          <w:rFonts w:ascii="Arial" w:hAnsi="Arial" w:cs="Arial"/>
          <w:sz w:val="20"/>
          <w:szCs w:val="20"/>
        </w:rPr>
        <w:fldChar w:fldCharType="separate"/>
      </w:r>
      <w:r w:rsidR="00111EA9" w:rsidRPr="00111EA9">
        <w:rPr>
          <w:rFonts w:ascii="Arial" w:hAnsi="Arial" w:cs="Arial"/>
          <w:noProof/>
          <w:sz w:val="20"/>
          <w:szCs w:val="20"/>
        </w:rPr>
        <w:t>(16)</w:t>
      </w:r>
      <w:r w:rsidR="00F60C8B">
        <w:rPr>
          <w:rFonts w:ascii="Arial" w:hAnsi="Arial" w:cs="Arial"/>
          <w:sz w:val="20"/>
          <w:szCs w:val="20"/>
        </w:rPr>
        <w:fldChar w:fldCharType="end"/>
      </w:r>
    </w:p>
    <w:p w14:paraId="5DF3BAAC" w14:textId="77777777" w:rsidR="00696B1D" w:rsidRDefault="00696B1D" w:rsidP="006961D8">
      <w:pPr>
        <w:jc w:val="both"/>
        <w:rPr>
          <w:rFonts w:ascii="Arial" w:hAnsi="Arial" w:cs="Arial"/>
          <w:sz w:val="20"/>
          <w:szCs w:val="20"/>
        </w:rPr>
      </w:pPr>
    </w:p>
    <w:p w14:paraId="6A4D4594" w14:textId="67264267" w:rsidR="00696B1D" w:rsidRDefault="00696B1D" w:rsidP="00D50373">
      <w:pPr>
        <w:jc w:val="both"/>
        <w:rPr>
          <w:rFonts w:ascii="Arial" w:hAnsi="Arial" w:cs="Arial"/>
          <w:sz w:val="20"/>
          <w:szCs w:val="20"/>
        </w:rPr>
      </w:pPr>
      <w:r w:rsidRPr="00EC280B">
        <w:rPr>
          <w:rFonts w:ascii="Arial" w:hAnsi="Arial" w:cs="Arial"/>
          <w:sz w:val="20"/>
          <w:szCs w:val="20"/>
        </w:rPr>
        <w:t xml:space="preserve">El diagnóstico diferencial patológico de </w:t>
      </w:r>
      <w:r>
        <w:rPr>
          <w:rFonts w:ascii="Arial" w:hAnsi="Arial" w:cs="Arial"/>
          <w:sz w:val="20"/>
          <w:szCs w:val="20"/>
        </w:rPr>
        <w:t xml:space="preserve">ATLL </w:t>
      </w:r>
      <w:r w:rsidRPr="00EC280B">
        <w:rPr>
          <w:rFonts w:ascii="Arial" w:hAnsi="Arial" w:cs="Arial"/>
          <w:sz w:val="20"/>
          <w:szCs w:val="20"/>
        </w:rPr>
        <w:t>incluye</w:t>
      </w:r>
      <w:r>
        <w:rPr>
          <w:rFonts w:ascii="Arial" w:hAnsi="Arial" w:cs="Arial"/>
          <w:sz w:val="20"/>
          <w:szCs w:val="20"/>
        </w:rPr>
        <w:t xml:space="preserve"> </w:t>
      </w:r>
      <w:r w:rsidRPr="00EC280B">
        <w:rPr>
          <w:rFonts w:ascii="Arial" w:hAnsi="Arial" w:cs="Arial"/>
          <w:sz w:val="20"/>
          <w:szCs w:val="20"/>
        </w:rPr>
        <w:t xml:space="preserve">linfoma T periférico </w:t>
      </w:r>
      <w:r>
        <w:rPr>
          <w:rFonts w:ascii="Arial" w:hAnsi="Arial" w:cs="Arial"/>
          <w:sz w:val="20"/>
          <w:szCs w:val="20"/>
        </w:rPr>
        <w:t>NOS</w:t>
      </w:r>
      <w:r w:rsidRPr="00EC280B">
        <w:rPr>
          <w:rFonts w:ascii="Arial" w:hAnsi="Arial" w:cs="Arial"/>
          <w:sz w:val="20"/>
          <w:szCs w:val="20"/>
        </w:rPr>
        <w:t xml:space="preserve"> (</w:t>
      </w:r>
      <w:r>
        <w:rPr>
          <w:rFonts w:ascii="Arial" w:hAnsi="Arial" w:cs="Arial"/>
          <w:sz w:val="20"/>
          <w:szCs w:val="20"/>
        </w:rPr>
        <w:t>PTCL NOS</w:t>
      </w:r>
      <w:r w:rsidRPr="00EC280B">
        <w:rPr>
          <w:rFonts w:ascii="Arial" w:hAnsi="Arial" w:cs="Arial"/>
          <w:sz w:val="20"/>
          <w:szCs w:val="20"/>
        </w:rPr>
        <w:t xml:space="preserve">), linfoma </w:t>
      </w:r>
      <w:proofErr w:type="spellStart"/>
      <w:r w:rsidRPr="00EC280B">
        <w:rPr>
          <w:rFonts w:ascii="Arial" w:hAnsi="Arial" w:cs="Arial"/>
          <w:sz w:val="20"/>
          <w:szCs w:val="20"/>
        </w:rPr>
        <w:t>anaplásico</w:t>
      </w:r>
      <w:proofErr w:type="spellEnd"/>
      <w:r w:rsidRPr="00EC280B">
        <w:rPr>
          <w:rFonts w:ascii="Arial" w:hAnsi="Arial" w:cs="Arial"/>
          <w:sz w:val="20"/>
          <w:szCs w:val="20"/>
        </w:rPr>
        <w:t xml:space="preserve"> de células grandes, linfomas cutáneos de células T tales como micosis </w:t>
      </w:r>
      <w:proofErr w:type="spellStart"/>
      <w:r w:rsidRPr="00EC280B">
        <w:rPr>
          <w:rFonts w:ascii="Arial" w:hAnsi="Arial" w:cs="Arial"/>
          <w:sz w:val="20"/>
          <w:szCs w:val="20"/>
        </w:rPr>
        <w:t>fungoide</w:t>
      </w:r>
      <w:proofErr w:type="spellEnd"/>
      <w:r w:rsidRPr="00EC280B">
        <w:rPr>
          <w:rFonts w:ascii="Arial" w:hAnsi="Arial" w:cs="Arial"/>
          <w:sz w:val="20"/>
          <w:szCs w:val="20"/>
        </w:rPr>
        <w:t xml:space="preserve"> (MF) y </w:t>
      </w:r>
      <w:proofErr w:type="spellStart"/>
      <w:r w:rsidRPr="00EC280B">
        <w:rPr>
          <w:rFonts w:ascii="Arial" w:hAnsi="Arial" w:cs="Arial"/>
          <w:sz w:val="20"/>
          <w:szCs w:val="20"/>
        </w:rPr>
        <w:t>S</w:t>
      </w:r>
      <w:r>
        <w:rPr>
          <w:rFonts w:ascii="Arial" w:hAnsi="Arial" w:cs="Arial"/>
          <w:sz w:val="20"/>
          <w:szCs w:val="20"/>
        </w:rPr>
        <w:t>indrome</w:t>
      </w:r>
      <w:proofErr w:type="spellEnd"/>
      <w:r>
        <w:rPr>
          <w:rFonts w:ascii="Arial" w:hAnsi="Arial" w:cs="Arial"/>
          <w:sz w:val="20"/>
          <w:szCs w:val="20"/>
        </w:rPr>
        <w:t xml:space="preserve"> de </w:t>
      </w:r>
      <w:proofErr w:type="spellStart"/>
      <w:r w:rsidRPr="00EC280B">
        <w:rPr>
          <w:rFonts w:ascii="Arial" w:hAnsi="Arial" w:cs="Arial"/>
          <w:sz w:val="20"/>
          <w:szCs w:val="20"/>
        </w:rPr>
        <w:t>S</w:t>
      </w:r>
      <w:r>
        <w:rPr>
          <w:rFonts w:ascii="Arial" w:hAnsi="Arial" w:cs="Arial"/>
          <w:sz w:val="20"/>
          <w:szCs w:val="20"/>
        </w:rPr>
        <w:t>ézary</w:t>
      </w:r>
      <w:proofErr w:type="spellEnd"/>
      <w:r>
        <w:rPr>
          <w:rFonts w:ascii="Arial" w:hAnsi="Arial" w:cs="Arial"/>
          <w:sz w:val="20"/>
          <w:szCs w:val="20"/>
        </w:rPr>
        <w:t xml:space="preserve"> (SS)</w:t>
      </w:r>
      <w:r w:rsidRPr="00EC280B">
        <w:rPr>
          <w:rFonts w:ascii="Arial" w:hAnsi="Arial" w:cs="Arial"/>
          <w:sz w:val="20"/>
          <w:szCs w:val="20"/>
        </w:rPr>
        <w:t xml:space="preserve"> y linfoma de células T </w:t>
      </w:r>
      <w:proofErr w:type="spellStart"/>
      <w:r w:rsidRPr="00EC280B">
        <w:rPr>
          <w:rFonts w:ascii="Arial" w:hAnsi="Arial" w:cs="Arial"/>
          <w:sz w:val="20"/>
          <w:szCs w:val="20"/>
        </w:rPr>
        <w:t>angioinmunoblástico</w:t>
      </w:r>
      <w:proofErr w:type="spellEnd"/>
      <w:r>
        <w:rPr>
          <w:rFonts w:ascii="Arial" w:hAnsi="Arial" w:cs="Arial"/>
          <w:sz w:val="20"/>
          <w:szCs w:val="20"/>
        </w:rPr>
        <w:t xml:space="preserve"> </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"10.1007/978-3-319-99716-2_7", "ISSN" : "09273042", "abstract" : "Adult T-cell leukemia-lymphoma (ATL) is a peripheral T-lymphocyte malignancy caused by an RNA retrovirus, human T-cell leukemia virus type 1. ATL is clinically classified into four disease subtypes. The acute, lymphoma type, and cases of the chronic type involving unfavorable prognostic factors are regarded as aggressive ATL subtypes that require immediate treatment. Dose-intensified chemotherapy, such as the VCAP-AMP-VECP regimen, is considered to be the most recommended treatment for aggressive ATL. However, ATL remains difficult to cure and has an extremely poor prognosis, even when such chemotherapy is employed. Allogeneic stem cell transplantation is the only known curative therapy and is recommended for younger patients with aggressive ATL. However, because of the increasing age at the onset of ATL, only a small fraction of patients with ATL can benefit from such transplants; therefore, there is an unmet medical need for novel drugs. Mogamulizumab, a defucosylated, humanized anti-C-C motif chemokine receptor 4 (CCR4) monoclonal antibody, was developed using a novel glycoengineering technique. Mogamulizumab monotherapy achieved clinically meaningful effects in patients with relapsed aggressive ATL and has exhibited acceptable toxicity profiles both inside and outside of Japan. In addition, lenalidomide has shown promising antitumor activity in patients with ATL. Furthermore, based on the results of translational research, several promising novel agents are currently being investigated and might contribute to improving the prognosis of ATL.", "author" : [ { "dropping-particle" : "", "family" : "Munakata", "given" : "Wataru", "non-dropping-particle" : "", "parse-names" : false, "suffix" : "" }, { "dropping-particle" : "", "family" : "Tobinai", "given" : "Kensei", "non-dropping-particle" : "", "parse-names" : false, "suffix" : "" } ], "container-title" : "Cancer Treatment and Research", "id" : "ITEM-1", "issued" : { "date-parts" : [ [ "2019" ] ] }, "page" : "145-161", "title" : "Adult T-Cell leukemia-lymphoma", "type" : "article-journal", "volume" : "176" }, "uris" : [ "http://www.mendeley.com/documents/?uuid=b99812c3-8d54-44eb-a7e8-b53169dc39d4", "http://www.mendeley.com/documents/?uuid=faf16f9d-19dc-4053-8bff-c9a97b3d6d94" ] }, { "id" : "ITEM-2", "itemData" : { "DOI" : "10.1016/j.ad.2017.08.014", "ISSN" : "15782190", "author" : [ { "dropping-particle" : "", "family" : "Rodr\u00edguez-Z\u00fa\u00f1iga", "given" : "M. J.M.", "non-dropping-particle" : "", "parse-names" : false, "suffix" : "" }, { "dropping-particle" : "", "family" : "Cortez-Franco", "given" : "F.", "non-dropping-particle" : "", "parse-names" : false, "suffix" : "" }, { "dropping-particle" : "", "family" : "Qujiano-Gomero", "given" : "E.", "non-dropping-particle" : "", "parse-names" : false, "suffix" : "" } ], "container-title" : "Actas dermo-sifiliograficas", "id" : "ITEM-2", "issue" : "5", "issued" : { "date-parts" : [ [ "2018" ] ] }, "page" : "399-407", "title" : "Leucemia/linfoma de c\u00e9lulas T del adulto. Revisi\u00f3n de la literatura cient\u00edfica", "type" : "article-journal", "volume" : "109" }, "uris" : [ "http://www.mendeley.com/documents/?uuid=2fa3d933-6367-43be-b9d0-4c3e14cb461c", "http://www.mendeley.com/documents/?uuid=589c2abe-0e19-4735-b2a4-cd726907afea" ] } ], "mendeley" : { "formattedCitation" : "(10,17)", "plainTextFormattedCitation" : "(10,17)", "previouslyFormattedCitation" : "(10,17)"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(10,17)</w:t>
      </w:r>
      <w:r>
        <w:rPr>
          <w:rFonts w:ascii="Arial" w:hAnsi="Arial" w:cs="Arial"/>
          <w:sz w:val="20"/>
          <w:szCs w:val="20"/>
        </w:rPr>
        <w:fldChar w:fldCharType="end"/>
      </w:r>
      <w:r w:rsidRPr="00EC280B">
        <w:rPr>
          <w:rFonts w:ascii="Arial" w:hAnsi="Arial" w:cs="Arial"/>
          <w:sz w:val="20"/>
          <w:szCs w:val="20"/>
        </w:rPr>
        <w:t>.</w:t>
      </w:r>
      <w:r>
        <w:rPr>
          <w:rFonts w:ascii="Arial" w:hAnsi="Arial" w:cs="Arial"/>
          <w:sz w:val="20"/>
          <w:szCs w:val="20"/>
        </w:rPr>
        <w:t xml:space="preserve"> El </w:t>
      </w:r>
      <w:r w:rsidR="00D50373">
        <w:rPr>
          <w:rFonts w:ascii="Arial" w:hAnsi="Arial" w:cs="Arial"/>
          <w:sz w:val="20"/>
          <w:szCs w:val="20"/>
        </w:rPr>
        <w:t xml:space="preserve">conocimiento de esta patología </w:t>
      </w:r>
      <w:r>
        <w:rPr>
          <w:rFonts w:ascii="Arial" w:hAnsi="Arial" w:cs="Arial"/>
          <w:sz w:val="20"/>
          <w:szCs w:val="20"/>
        </w:rPr>
        <w:t>por su carácter endémico</w:t>
      </w:r>
      <w:r w:rsidR="00D50373">
        <w:rPr>
          <w:rFonts w:ascii="Arial" w:hAnsi="Arial" w:cs="Arial"/>
          <w:sz w:val="20"/>
          <w:szCs w:val="20"/>
        </w:rPr>
        <w:t xml:space="preserve"> sobre todas en las áreas geográficas previamente citadas</w:t>
      </w:r>
      <w:r>
        <w:rPr>
          <w:rFonts w:ascii="Arial" w:hAnsi="Arial" w:cs="Arial"/>
          <w:sz w:val="20"/>
          <w:szCs w:val="20"/>
        </w:rPr>
        <w:t xml:space="preserve"> facilita la sospecha y con ello el diagnóstico. </w:t>
      </w:r>
    </w:p>
    <w:p w14:paraId="31732A97" w14:textId="77777777" w:rsidR="00696B1D" w:rsidRDefault="00696B1D" w:rsidP="00D50373">
      <w:pPr>
        <w:ind w:firstLine="708"/>
        <w:jc w:val="both"/>
        <w:rPr>
          <w:rFonts w:ascii="Arial" w:hAnsi="Arial" w:cs="Arial"/>
          <w:sz w:val="20"/>
          <w:szCs w:val="20"/>
        </w:rPr>
      </w:pPr>
    </w:p>
    <w:p w14:paraId="2A35A4F2" w14:textId="6A58F96A" w:rsidR="00696B1D" w:rsidRDefault="00696B1D" w:rsidP="00D50373">
      <w:pPr>
        <w:jc w:val="both"/>
        <w:rPr>
          <w:rFonts w:ascii="Arial" w:hAnsi="Arial" w:cs="Arial"/>
          <w:sz w:val="20"/>
          <w:szCs w:val="20"/>
        </w:rPr>
      </w:pPr>
      <w:r>
        <w:rPr>
          <w:rFonts w:ascii="Arial" w:hAnsi="Arial" w:cs="Arial"/>
          <w:sz w:val="20"/>
          <w:szCs w:val="20"/>
        </w:rPr>
        <w:t>En cuanto al tratamiento está considerado la observación activa e</w:t>
      </w:r>
      <w:r w:rsidR="00D50373">
        <w:rPr>
          <w:rFonts w:ascii="Arial" w:hAnsi="Arial" w:cs="Arial"/>
          <w:sz w:val="20"/>
          <w:szCs w:val="20"/>
        </w:rPr>
        <w:t xml:space="preserve">n la forma </w:t>
      </w:r>
      <w:proofErr w:type="spellStart"/>
      <w:r w:rsidR="00D50373">
        <w:rPr>
          <w:rFonts w:ascii="Arial" w:hAnsi="Arial" w:cs="Arial"/>
          <w:sz w:val="20"/>
          <w:szCs w:val="20"/>
        </w:rPr>
        <w:t>smoldering</w:t>
      </w:r>
      <w:proofErr w:type="spellEnd"/>
      <w:r w:rsidR="00D50373">
        <w:rPr>
          <w:rFonts w:ascii="Arial" w:hAnsi="Arial" w:cs="Arial"/>
          <w:sz w:val="20"/>
          <w:szCs w:val="20"/>
        </w:rPr>
        <w:t xml:space="preserve"> </w:t>
      </w:r>
      <w:r>
        <w:rPr>
          <w:rFonts w:ascii="Arial" w:hAnsi="Arial" w:cs="Arial"/>
          <w:sz w:val="20"/>
          <w:szCs w:val="20"/>
        </w:rPr>
        <w:t xml:space="preserve">asintomáticas, como también la combinación de </w:t>
      </w:r>
      <w:proofErr w:type="spellStart"/>
      <w:r>
        <w:rPr>
          <w:rFonts w:ascii="Arial" w:hAnsi="Arial" w:cs="Arial"/>
          <w:sz w:val="20"/>
          <w:szCs w:val="20"/>
        </w:rPr>
        <w:t>Zidovudina</w:t>
      </w:r>
      <w:proofErr w:type="spellEnd"/>
      <w:r>
        <w:rPr>
          <w:rFonts w:ascii="Arial" w:hAnsi="Arial" w:cs="Arial"/>
          <w:sz w:val="20"/>
          <w:szCs w:val="20"/>
        </w:rPr>
        <w:t xml:space="preserve"> e interferón para las formas crónicas favorables y desfavorables</w:t>
      </w:r>
      <w:r w:rsidR="00D50373">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"10.1200/JCO.18.00501", "ISSN" : "15277755", "abstract" : "PURPOSE Adult T-cell leukemia-lymphoma (ATL) is a distinct mature T-cell malignancy caused by chronic infection with human T-lymphotropic virus type 1 with diverse clinical features and prognosis. ATL remains a challenging disease as a result of its diverse clinical features, multidrug resistance of malignant cells, frequent large tumor burden, hypercalcemia, and/or frequent opportunistic infection. In 2009, we published a consensus report to define prognostic factors, clinical subclassifications, treatment strategies, and response criteria. The 2009 consensus report has become the standard reference for clinical trials in ATL and a guide for clinical management. Since the last consensus there has been progress in the understanding of the molecular pathophysiology of ATL and risk-adapted treatment approaches. METHODS Reflecting these advances, ATL researchers and clinicians joined together at the 18th International Conference on Human Retrovirology\u2014Human T-Lymphotropic Virus and Related Retroviruses\u2014in Tokyo, Japan, March, 2017, to review evidence for current clinical practice and to update the consensus with a new focus on the subtype classification of cutaneous ATL, CNS lesions in aggressive ATL, management of elderly or transplantation-ineligible patients, and treatment strategies that incorporate up-front allogeneic hematopoietic stem-cell transplantation and novel agents. RESULTS As a result of lower-quality clinical evidence, a best practice approach was adopted and consensus statements agreed on by coauthors (. 90% agreement). CONCLUSION This expert consensus highlights the need for additional clinical trials to develop novel standard therapies for the treatment of ATL", "author" : [ { "dropping-particle" : "", "family" : "Cook", "given" : "Lucy B.", "non-dropping-particle" : "", "parse-names" : false, "suffix" : "" }, { "dropping-particle" : "", "family" : "Fuji", "given" : "Shigeo",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"Ramos", "given" : "Juan Carlos", "non-dropping-particle" : "", "parse-names" : false, "suffix" : "" }, { "dropping-particle" : "", "family" : "Ratner", "given" : "Lee", "non-dropping-particle" : "", "parse-names" : false, "suffix" : "" }, { "dropping-particle" : "", "family" : "Horwitz", "given" : "Steve", "non-dropping-particle" : "", "parse-names" : false, "suffix" : "" }, { "dropping-particle" : "", "family" : "Fields", "given" : "Paul", "non-dropping-particle" : "", "parse-names" : false, "suffix" : "" }, { "dropping-particle" : "", "family" : "Tanase", "given" : "Alina", "non-dropping-particle" : "", "parse-names" : false, "suffix" : "" }, { "dropping-particle" : "", "family" : "Bumbea", "given" : "Horia", "non-dropping-particle" : "", "parse-names" : false, "suffix" : "" }, { "dropping-particle" : "", "family" : "Cwynarski", "given" : "Kate", "non-dropping-particle" : "", "parse-names" : false, "suffix" : "" }, { "dropping-particle" : "", "family" : "Taylor", "given" : "Graham", "non-dropping-particle" : "", "parse-names" : false, "suffix" : "" }, { "dropping-particle" : "", "family" : "Waldmann", "given" : "Thomas A.", "non-dropping-particle" : "", "parse-names" : false, "suffix" : "" }, { "dropping-particle" : "", "family" : "Bittencourt", "given" : "Achilea", "non-dropping-particle" : "", "parse-names" : false, "suffix" : "" }, { "dropping-particle" : "", "family" : "Marcais", "given" : "Ambroise", "non-dropping-particle" : "", "parse-names" : false, "suffix" : "" }, { "dropping-particle" : "", "family" : "Suarez", "given" : "Felipe", "non-dropping-particle" : "", "parse-names" : false, "suffix" : "" }, { "dropping-particle" : "", "family" : "Sibon", "given" : "David", "non-dropping-particle" : "", "parse-names" : false, "suffix" : "" }, { "dropping-particle" : "", "family" : "Phillips", "given" : "Adrienne", "non-dropping-particle" : "", "parse-names" : false, "suffix" : "" }, { "dropping-particle" : "", "family" : "Lunning", "given" : "Matthew", "non-dropping-particle" : "", "parse-names" : false, "suffix" : "" }, { "dropping-particle" : "", "family" : "Farid", "given" : "Reza", "non-dropping-particle" : "", "parse-names" : false, "suffix" : "" }, { "dropping-particle" : "", "family" : "Imaizumi", "given" : "Yoshitaka", "non-dropping-particle" : "", "parse-names" : false, "suffix" : "" }, { "dropping-particle" : "", "family" : "Choi", "given" : "Ilseung", "non-dropping-particle" : "", "parse-names" : false, "suffix" : "" }, { "dropping-particle" : "", "family" : "Ishida", "given" : "Takashi", "non-dropping-particle" : "", "parse-names" : false, "suffix" : "" }, { "dropping-particle" : "", "family" : "Ishitsuka", "given" : "Kenji", "non-dropping-particle" : "", "parse-names" : false, "suffix" : "" }, { "dropping-particle" : "", "family" : "Fukushima", "given" : "Takuya", "non-dropping-particle" : "", "parse-names" : false, "suffix" : "" }, { "dropping-particle" : "", "family" : "Uchimaru", "given" : "Kaoru", "non-dropping-particle" : "", "parse-names" : false, "suffix" : "" }, { "dropping-particle" : "", "family" : "Takaori-Kondo", "given" : "Akifumi", "non-dropping-particle" : "", "parse-names" : false, "suffix" : "" }, { "dropping-particle" : "", "family" : "Tokura", "given" : "Yoshiki", "non-dropping-particle" : "", "parse-names" : false, "suffix" : "" }, { "dropping-particle" : "", "family" : "Utsunomiya", "given" : "Atae", "non-dropping-particle" : "", "parse-names" : false, "suffix" : "" }, { "dropping-particle" : "", "family" : "Matsuoka", "given" : "Masao", "non-dropping-particle" : "", "parse-names" : false, "suffix" : "" }, { "dropping-particle" : "", "family" : "Tsukasaki", "given" : "Kunihiro", "non-dropping-particle" : "", "parse-names" : false, "suffix" : "" }, { "dropping-particle" : "", "family" : "Watanabe", "given" : "Toshiki", "non-dropping-particle" : "", "parse-names" : false, "suffix" : "" } ], "container-title" : "Journal of Clinical Oncology", "id" : "ITEM-1", "issue" : "8", "issued" : { "date-parts" : [ [ "2019" ] ] }, "page" : "677-687", "title" : "Revised adult T-cell leukemia-lymphoma international consensus meeting report", "type" : "article-journal", "volume" : "37" }, "uris" : [ "http://www.mendeley.com/documents/?uuid=d591c601-e739-49b7-a5a9-006e59e706e8", "http://www.mendeley.com/documents/?uuid=ed94ce4d-7718-4d55-aee7-6e891f0de83e" ] } ], "mendeley" : { "formattedCitation" : "(18)", "plainTextFormattedCitation" : "(18)", "previouslyFormattedCitation" : "(18)"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(18)</w:t>
      </w:r>
      <w:r>
        <w:rPr>
          <w:rFonts w:ascii="Arial" w:hAnsi="Arial" w:cs="Arial"/>
          <w:sz w:val="20"/>
          <w:szCs w:val="20"/>
        </w:rPr>
        <w:fldChar w:fldCharType="end"/>
      </w:r>
      <w:r>
        <w:rPr>
          <w:rFonts w:ascii="Arial" w:hAnsi="Arial" w:cs="Arial"/>
          <w:sz w:val="20"/>
          <w:szCs w:val="20"/>
        </w:rPr>
        <w:t xml:space="preserve"> El subtipo que más se beneficia de quimioterapia es el </w:t>
      </w:r>
      <w:proofErr w:type="spellStart"/>
      <w:r>
        <w:rPr>
          <w:rFonts w:ascii="Arial" w:hAnsi="Arial" w:cs="Arial"/>
          <w:sz w:val="20"/>
          <w:szCs w:val="20"/>
        </w:rPr>
        <w:t>linfomatoso</w:t>
      </w:r>
      <w:proofErr w:type="spellEnd"/>
      <w:r>
        <w:rPr>
          <w:rFonts w:ascii="Arial" w:hAnsi="Arial" w:cs="Arial"/>
          <w:sz w:val="20"/>
          <w:szCs w:val="20"/>
        </w:rPr>
        <w:t xml:space="preserve">, con regímenes como LSG 15 (esquema aprobado sólo en Japón que comprende análogos de la vinca, </w:t>
      </w:r>
      <w:proofErr w:type="spellStart"/>
      <w:r>
        <w:rPr>
          <w:rFonts w:ascii="Arial" w:hAnsi="Arial" w:cs="Arial"/>
          <w:sz w:val="20"/>
          <w:szCs w:val="20"/>
        </w:rPr>
        <w:t>doxorrubicina</w:t>
      </w:r>
      <w:proofErr w:type="spellEnd"/>
      <w:r>
        <w:rPr>
          <w:rFonts w:ascii="Arial" w:hAnsi="Arial" w:cs="Arial"/>
          <w:sz w:val="20"/>
          <w:szCs w:val="20"/>
        </w:rPr>
        <w:t xml:space="preserve">, </w:t>
      </w:r>
      <w:proofErr w:type="spellStart"/>
      <w:r>
        <w:rPr>
          <w:rFonts w:ascii="Arial" w:hAnsi="Arial" w:cs="Arial"/>
          <w:sz w:val="20"/>
          <w:szCs w:val="20"/>
        </w:rPr>
        <w:t>etopósido</w:t>
      </w:r>
      <w:proofErr w:type="spellEnd"/>
      <w:r>
        <w:rPr>
          <w:rFonts w:ascii="Arial" w:hAnsi="Arial" w:cs="Arial"/>
          <w:sz w:val="20"/>
          <w:szCs w:val="20"/>
        </w:rPr>
        <w:t xml:space="preserve">, </w:t>
      </w:r>
      <w:proofErr w:type="spellStart"/>
      <w:r>
        <w:rPr>
          <w:rFonts w:ascii="Arial" w:hAnsi="Arial" w:cs="Arial"/>
          <w:sz w:val="20"/>
          <w:szCs w:val="20"/>
        </w:rPr>
        <w:t>carboplatino</w:t>
      </w:r>
      <w:proofErr w:type="spellEnd"/>
      <w:r>
        <w:rPr>
          <w:rFonts w:ascii="Arial" w:hAnsi="Arial" w:cs="Arial"/>
          <w:sz w:val="20"/>
          <w:szCs w:val="20"/>
        </w:rPr>
        <w:t xml:space="preserve">, </w:t>
      </w:r>
      <w:proofErr w:type="spellStart"/>
      <w:r>
        <w:rPr>
          <w:rFonts w:ascii="Arial" w:hAnsi="Arial" w:cs="Arial"/>
          <w:sz w:val="20"/>
          <w:szCs w:val="20"/>
        </w:rPr>
        <w:t>ranimustina</w:t>
      </w:r>
      <w:proofErr w:type="spellEnd"/>
      <w:r>
        <w:rPr>
          <w:rFonts w:ascii="Arial" w:hAnsi="Arial" w:cs="Arial"/>
          <w:sz w:val="20"/>
          <w:szCs w:val="20"/>
        </w:rPr>
        <w:t xml:space="preserve"> y </w:t>
      </w:r>
      <w:proofErr w:type="spellStart"/>
      <w:r>
        <w:rPr>
          <w:rFonts w:ascii="Arial" w:hAnsi="Arial" w:cs="Arial"/>
          <w:sz w:val="20"/>
          <w:szCs w:val="20"/>
        </w:rPr>
        <w:t>prednisolona</w:t>
      </w:r>
      <w:proofErr w:type="spellEnd"/>
      <w:r>
        <w:rPr>
          <w:rFonts w:ascii="Arial" w:hAnsi="Arial" w:cs="Arial"/>
          <w:sz w:val="20"/>
          <w:szCs w:val="20"/>
        </w:rPr>
        <w:t xml:space="preserve"> de forma alternada) </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"10.1200/JCO.2007.11.9958", "ISSN" : "1527-7755 (Electronic)", "PMID" : "17968021", "abstract" : "PURPOSE: Our previous phase II trial for treating human T-lymphotropic virus type I-associated adult T-cell leukemia-lymphoma (ATLL) with vincristine, cyclophosphamide, doxorubicin, and prednisone (VCAP), doxorubicin, ranimustine, and prednisone (AMP), and vindesine, etoposide, carboplatin, and prednisone (VECP) showed promising results. To test the superiority of VCAP-AMP-VECP over biweekly cyclophosphamide, doxorubicin, vincristine, and prednisone (CHOP), we conducted a randomized controlled trial exclusively for ATLL. PATIENTS AND METHODS: Previously untreated patients with aggressive ATLL were assigned to receive either six courses of VCAP-AMP-VECP every 4 weeks or eight courses of biweekly CHOP. Both treatments were supported with granulocyte colony-stimulating factor and intrathecal prophylaxis. RESULTS: A total of 118 patients were enrolled. The complete response (CR) rate was higher in the VCAP-AMP-VECP arm than in biweekly CHOP arm (40% v 25%, respectively; P = .020). Progression-free survival rate at 1 year was 28% in the VCAP-AMP-VECP arm compared with 16% in the CHOP arm (P = .100, two-sided P = .200). Overall survival (OS) at 3 years was 24% in the VCAP-AMP-VECP arm and 13% in the CHOP arm (P = .085, two-sided P = .169). For VCAP-AMP-VECP versus biweekly CHOP, grade 4 neutropenia, grade 4 thrombocytopenia, and grade 3 or 4 infection rates were 98% v 83%, 74% v 17%, and 32% v 15%, respectively. There were three toxic deaths in the VCAP-AMP-VECP arm. CONCLUSION: The longer OS at 3 years and higher CR rate with VCAP-AMP-VECP compared with biweekly CHOP suggest that VCAP-AMP-VECP might be a more effective regimen at the expense of higher toxicities, providing the basis for future investigations in the treatment of ATLL.", "author" : [ { "dropping-particle" : "", "family" : "Tsukasaki", "given" : "Kunihiro", "non-dropping-particle" : "", "parse-names" : false, "suffix" : "" }, { "dropping-particle" : "", "family" : "Utsunomiya", "given" : "Atae", "non-dropping-particle" : "", "parse-names" : false, "suffix" : "" }, { "dropping-particle" : "", "family" : "Fukuda", "given" : "Haruhiko", "non-dropping-particle" : "", "parse-names" : false, "suffix" : "" }, { "dropping-particle" : "", "family" : "Shibata", "given" : "Taro", "non-dropping-particle" : "", "parse-names" : false, "suffix" : "" }, { "dropping-particle" : "", "family" : "Fukushima", "given" : "Takuya", "non-dropping-particle" : "", "parse-names" : false, "suffix" : "" }, { "dropping-particle" : "", "family" : "Takatsuka", "given" : "Yoshifusa", "non-dropping-particle" : "", "parse-names" : false, "suffix" : "" }, { "dropping-particle" : "", "family" : "Ikeda", "given" : "Shuichi", "non-dropping-particle" : "", "parse-names" : false, "suffix" : "" }, { "dropping-particle" : "", "family" : "Masuda", "given" : "Masato", "non-dropping-particle" : "", "parse-names" : false, "suffix" : "" }, { "dropping-particle" : "", "family" : "Nagoshi", "given" : "Haruhisa", "non-dropping-particle" : "", "parse-names" : false, "suffix" : "" }, { "dropping-particle" : "", "family" : "Ueda", "given" : "Ryuzo", "non-dropping-particle" : "", "parse-names" : false, "suffix" : "" }, { "dropping-particle" : "", "family" : "Tamura", "given" : "Kazuo", "non-dropping-particle" : "", "parse-names" : false, "suffix" : "" }, { "dropping-particle" : "", "family" : "Sano", "given" : "Masayuki", "non-dropping-particle" : "", "parse-names" : false, "suffix" : "" }, { "dropping-particle" : "", "family" : "Momita", "given" : "Saburo", "non-dropping-particle" : "", "parse-names" : false, "suffix" : "" }, { "dropping-particle" : "", "family" : "Yamaguchi", "given" : "Kazunari", "non-dropping-particle" : "", "parse-names" : false, "suffix" : "" }, { "dropping-particle" : "", "family" : "Kawano", "given" : "Fumio", "non-dropping-particle" : "", "parse-names" : false, "suffix" : "" }, { "dropping-particle" : "", "family" : "Hanada", "given" : "Shuichi", "non-dropping-particle" : "", "parse-names" : false, "suffix" : "" }, { "dropping-particle" : "", "family" : "Tobinai", "given" : "Kensei", "non-dropping-particle" : "", "parse-names" : false, "suffix" : "" }, { "dropping-particle" : "", "family" : "Shimoyama", "given" : "Masanori", "non-dropping-particle" : "", "parse-names" : false, "suffix" : "" }, { "dropping-particle" : "", "family" : "Hotta", "given" : "Tomomitsu", "non-dropping-particle" : "", "parse-names" : false, "suffix" : "" }, { "dropping-particle" : "", "family" : "Tomonaga", "given" : "Masao", "non-dropping-particle" : "", "parse-names" : false, "suffix" : "" } ], "container-title" : "Journal of clinical oncology : official journal of the American Society of Clinical Oncology", "id" : "ITEM-1", "issue" : "34", "issued" : { "date-parts" : [ [ "2007", "12" ] ] }, "language" : "eng", "page" : "5458-5464", "publisher-place" : "United States", "title" : "VCAP-AMP-VECP compared with biweekly CHOP for adult T-cell leukemia-lymphoma: Japan Clinical Oncology Group Study JCOG9801.", "type" : "article-journal", "volume" : "25" }, "uris" : [ "http://www.mendeley.com/documents/?uuid=a39eb01c-605d-4bbe-bf9d-e5734e6fc566", "http://www.mendeley.com/documents/?uuid=5ffbe461-429a-475f-ad13-791cdc13f19f" ] } ], "mendeley" : { "formattedCitation" : "(19)", "plainTextFormattedCitation" : "(19)", "previouslyFormattedCitation" : "(19)"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(19)</w:t>
      </w:r>
      <w:r>
        <w:rPr>
          <w:rFonts w:ascii="Arial" w:hAnsi="Arial" w:cs="Arial"/>
          <w:sz w:val="20"/>
          <w:szCs w:val="20"/>
        </w:rPr>
        <w:fldChar w:fldCharType="end"/>
      </w:r>
      <w:r>
        <w:rPr>
          <w:rFonts w:ascii="Arial" w:hAnsi="Arial" w:cs="Arial"/>
          <w:sz w:val="20"/>
          <w:szCs w:val="20"/>
        </w:rPr>
        <w:t xml:space="preserve"> y regímenes de mayor relevancia en el mundo fuera de Japón </w:t>
      </w:r>
      <w:r w:rsidR="00D50373">
        <w:rPr>
          <w:rFonts w:ascii="Arial" w:hAnsi="Arial" w:cs="Arial"/>
          <w:sz w:val="20"/>
          <w:szCs w:val="20"/>
        </w:rPr>
        <w:t>son</w:t>
      </w:r>
      <w:r>
        <w:rPr>
          <w:rFonts w:ascii="Arial" w:hAnsi="Arial" w:cs="Arial"/>
          <w:sz w:val="20"/>
          <w:szCs w:val="20"/>
        </w:rPr>
        <w:t xml:space="preserve"> los esquemas</w:t>
      </w:r>
      <w:r w:rsidR="00D50373">
        <w:rPr>
          <w:rFonts w:ascii="Arial" w:hAnsi="Arial" w:cs="Arial"/>
          <w:sz w:val="20"/>
          <w:szCs w:val="20"/>
        </w:rPr>
        <w:t>;</w:t>
      </w:r>
      <w:r>
        <w:rPr>
          <w:rFonts w:ascii="Arial" w:hAnsi="Arial" w:cs="Arial"/>
          <w:sz w:val="20"/>
          <w:szCs w:val="20"/>
        </w:rPr>
        <w:t xml:space="preserve"> CHOP, CHOEP y DA-EPOCH, basados en combinaciones de </w:t>
      </w:r>
      <w:proofErr w:type="spellStart"/>
      <w:r>
        <w:rPr>
          <w:rFonts w:ascii="Arial" w:hAnsi="Arial" w:cs="Arial"/>
          <w:sz w:val="20"/>
          <w:szCs w:val="20"/>
        </w:rPr>
        <w:t>antraciclínicos</w:t>
      </w:r>
      <w:proofErr w:type="spellEnd"/>
      <w:r>
        <w:rPr>
          <w:rFonts w:ascii="Arial" w:hAnsi="Arial" w:cs="Arial"/>
          <w:sz w:val="20"/>
          <w:szCs w:val="20"/>
        </w:rPr>
        <w:t xml:space="preserve">, </w:t>
      </w:r>
      <w:proofErr w:type="spellStart"/>
      <w:r>
        <w:rPr>
          <w:rFonts w:ascii="Arial" w:hAnsi="Arial" w:cs="Arial"/>
          <w:sz w:val="20"/>
          <w:szCs w:val="20"/>
        </w:rPr>
        <w:t>vincristina</w:t>
      </w:r>
      <w:proofErr w:type="spellEnd"/>
      <w:r>
        <w:rPr>
          <w:rFonts w:ascii="Arial" w:hAnsi="Arial" w:cs="Arial"/>
          <w:sz w:val="20"/>
          <w:szCs w:val="20"/>
        </w:rPr>
        <w:t xml:space="preserve">, </w:t>
      </w:r>
      <w:proofErr w:type="spellStart"/>
      <w:r>
        <w:rPr>
          <w:rFonts w:ascii="Arial" w:hAnsi="Arial" w:cs="Arial"/>
          <w:sz w:val="20"/>
          <w:szCs w:val="20"/>
        </w:rPr>
        <w:t>ciclofosfamida</w:t>
      </w:r>
      <w:proofErr w:type="spellEnd"/>
      <w:r>
        <w:rPr>
          <w:rFonts w:ascii="Arial" w:hAnsi="Arial" w:cs="Arial"/>
          <w:sz w:val="20"/>
          <w:szCs w:val="20"/>
        </w:rPr>
        <w:t xml:space="preserve">, </w:t>
      </w:r>
      <w:proofErr w:type="spellStart"/>
      <w:r>
        <w:rPr>
          <w:rFonts w:ascii="Arial" w:hAnsi="Arial" w:cs="Arial"/>
          <w:sz w:val="20"/>
          <w:szCs w:val="20"/>
        </w:rPr>
        <w:t>prednisona</w:t>
      </w:r>
      <w:proofErr w:type="spellEnd"/>
      <w:r>
        <w:rPr>
          <w:rFonts w:ascii="Arial" w:hAnsi="Arial" w:cs="Arial"/>
          <w:sz w:val="20"/>
          <w:szCs w:val="20"/>
        </w:rPr>
        <w:t xml:space="preserve"> con o sin </w:t>
      </w:r>
      <w:proofErr w:type="spellStart"/>
      <w:r>
        <w:rPr>
          <w:rFonts w:ascii="Arial" w:hAnsi="Arial" w:cs="Arial"/>
          <w:sz w:val="20"/>
          <w:szCs w:val="20"/>
        </w:rPr>
        <w:t>etopósido</w:t>
      </w:r>
      <w:proofErr w:type="spellEnd"/>
      <w:r w:rsidR="00111EA9">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"10.1182/bloodadvances.2017011106", "ISSN" : "24739537", "abstract" : "Adult T-cell leukemia/lymphoma(ATLL) is a fatal disease caused by human T-cell leukemia virus type 1 (HTLV-1). We retrospectively analyzed 195 patients with ATLL (lymphomatous n = 96, acute n = 80, unfavorable chronic n = 7, chronic n = 5, smoldering n = 3, and unclassified n = 4) diagnosed between 1987 and 2016 (median age 52 years, 77% Afro-Caribbean). Hypercalcemia was associated with acute ATLL (65%, vs 23% lymphomatous) (P = .012). The median survival for patients treated with modern therapies between 2000 and 2016 was 4.1 months for acute, 10.2 months for lymphomatous, 72 months for chronic/smoldering, and not reached for unfavorable chronic type, with 4-year survival rates of 10%, 4%, 60%, and 83%, respectively. The overall response rate (ORR) after first-line multiagent chemotherapy was 78% (complete response [CR] 39%) for acute vs 67% (CR 33%) for lymphomatous ATLL. First-line zidovudine interferon-a (AZT-IFN) resulted in ORR of 56% (CR 23%) for acute (n = 43), 33% (CR 16.5%) for lymphomatous (n56), and 86%(CR 29%) for unfavorable chronic ATLL. Themedian progression-free survival (PFS) in patients with aggressive ATLL who achieved CR after AZT-IFN was 48months vs 11months after chemotherapy (P = .003). Allogeneic hematopoietic stem cell transplant (allo-HSCT) resulted in a PFS of 24 and 28 months in 2 patients with lymphomatous ATLL. Our results suggest high-dose AZT-IFN is a reasonable up-front option for patients with aggressive leukemic ATLL followed by chemotherapy switch in nonresponders, whereas chemotherapy should be used in lymphomatous type followed by allo-HSCT when feasible.", "author" : [ { "dropping-particle" : "", "family" : "Malpica", "given" : "Luis", "non-dropping-particle" : "", "parse-names" : false, "suffix" : "" }, { "dropping-particle" : "", "family" : "Pimentel", "given" : "Agustin", "non-dropping-particle" : "", "parse-names" : false, "suffix" : "" }, { "dropping-particle" : "", "family" : "Reis", "given" : "Isildinha M.", "non-dropping-particle" : "", "parse-names" : false, "suffix" : "" }, { "dropping-particle" : "", "family" : "Gotuzzo", "given" : "Eduardo", "non-dropping-particle" : "", "parse-names" : false, "suffix" : "" }, { "dropping-particle" : "", "family" : "Lekakis", "given" : "Lazaros", "non-dropping-particle" : "", "parse-names" : false, "suffix" : "" }, { "dropping-particle" : "", "family" : "Komanduri", "given" : "Krishna", "non-dropping-particle" : "", "parse-names" : false, "suffix" : "" }, { "dropping-particle" : "", "family" : "Harrington", "given" : "Thomas", "non-dropping-particle" : "", "parse-names" : false, "suffix" : "" }, { "dropping-particle" : "", "family" : "Barber", "given" : "Glen N.", "non-dropping-particle" : "", "parse-names" : false, "suffix" : "" }, { "dropping-particle" : "", "family" : "Ramos", "given" : "Juan C.", "non-dropping-particle" : "", "parse-names" : false, "suffix" : "" } ], "container-title" : "Blood Advances", "id" : "ITEM-1", "issue" : "6", "issued" : { "date-parts" : [ [ "2018" ] ] }, "page" : "607-620", "title" : "Epidemiology, clinical features, and outcome of HTLV-1-related ATLL in an area of prevalence in the United States", "type" : "article-journal", "volume" : "2" }, "uris" : [ "http://www.mendeley.com/documents/?uuid=fe79f3c4-8549-4ee7-b569-b3e11857328f", "http://www.mendeley.com/documents/?uuid=d3f032eb-2512-48a5-b841-228fe6e5c91d" ] }, { "id" : "ITEM-2", "itemData" : { "DOI" : "10.1200/JCO.18.00501", "ISSN" : "15277755", "abstract" : "PURPOSE Adult T-cell leukemia-lymphoma (ATL) is a distinct mature T-cell malignancy caused by chronic infection with human T-lymphotropic virus type 1 with diverse clinical features and prognosis. ATL remains a challenging disease as a result of its diverse clinical features, multidrug resistance of malignant cells, frequent large tumor burden, hypercalcemia, and/or frequent opportunistic infection. In 2009, we published a consensus report to define prognostic factors, clinical subclassifications, treatment strategies, and response criteria. The 2009 consensus report has become the standard reference for clinical trials in ATL and a guide for clinical management. Since the last consensus there has been progress in the understanding of the molecular pathophysiology of ATL and risk-adapted treatment approaches. METHODS Reflecting these advances, ATL researchers and clinicians joined together at the 18th International Conference on Human Retrovirology\u2014Human T-Lymphotropic Virus and Related Retroviruses\u2014in Tokyo, Japan, March, 2017, to review evidence for current clinical practice and to update the consensus with a new focus on the subtype classification of cutaneous ATL, CNS lesions in aggressive ATL, management of elderly or transplantation-ineligible patients, and treatment strategies that incorporate up-front allogeneic hematopoietic stem-cell transplantation and novel agents. RESULTS As a result of lower-quality clinical evidence, a best practice approach was adopted and consensus statements agreed on by coauthors (. 90% agreement). CONCLUSION This expert consensus highlights the need for additional clinical trials to develop novel standard therapies for the treatment of ATL", "author" : [ { "dropping-particle" : "", "family" : "Cook", "given" : "Lucy B.", "non-dropping-particle" : "", "parse-names" : false, "suffix" : "" }, { "dropping-particle" : "", "family" : "Fuji", "given" : "Shigeo",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"Ramos", "given" : "Juan Carlos", "non-dropping-particle" : "", "parse-names" : false, "suffix" : "" }, { "dropping-particle" : "", "family" : "Ratner", "given" : "Lee", "non-dropping-particle" : "", "parse-names" : false, "suffix" : "" }, { "dropping-particle" : "", "family" : "Horwitz", "given" : "Steve", "non-dropping-particle" : "", "parse-names" : false, "suffix" : "" }, { "dropping-particle" : "", "family" : "Fields", "given" : "Paul", "non-dropping-particle" : "", "parse-names" : false, "suffix" : "" }, { "dropping-particle" : "", "family" : "Tanase", "given" : "Alina", "non-dropping-particle" : "", "parse-names" : false, "suffix" : "" }, { "dropping-particle" : "", "family" : "Bumbea", "given" : "Horia", "non-dropping-particle" : "", "parse-names" : false, "suffix" : "" }, { "dropping-particle" : "", "family" : "Cwynarski", "given" : "Kate", "non-dropping-particle" : "", "parse-names" : false, "suffix" : "" }, { "dropping-particle" : "", "family" : "Taylor", "given" : "Graham", "non-dropping-particle" : "", "parse-names" : false, "suffix" : "" }, { "dropping-particle" : "", "family" : "Waldmann", "given" : "Thomas A.", "non-dropping-particle" : "", "parse-names" : false, "suffix" : "" }, { "dropping-particle" : "", "family" : "Bittencourt", "given" : "Achilea", "non-dropping-particle" : "", "parse-names" : false, "suffix" : "" }, { "dropping-particle" : "", "family" : "Marcais", "given" : "Ambroise", "non-dropping-particle" : "", "parse-names" : false, "suffix" : "" }, { "dropping-particle" : "", "family" : "Suarez", "given" : "Felipe", "non-dropping-particle" : "", "parse-names" : false, "suffix" : "" }, { "dropping-particle" : "", "family" : "Sibon", "given" : "David", "non-dropping-particle" : "", "parse-names" : false, "suffix" : "" }, { "dropping-particle" : "", "family" : "Phillips", "given" : "Adrienne", "non-dropping-particle" : "", "parse-names" : false, "suffix" : "" }, { "dropping-particle" : "", "family" : "Lunning", "given" : "Matthew", "non-dropping-particle" : "", "parse-names" : false, "suffix" : "" }, { "dropping-particle" : "", "family" : "Farid", "given" : "Reza", "non-dropping-particle" : "", "parse-names" : false, "suffix" : "" }, { "dropping-particle" : "", "family" : "Imaizumi", "given" : "Yoshitaka", "non-dropping-particle" : "", "parse-names" : false, "suffix" : "" }, { "dropping-particle" : "", "family" : "Choi", "given" : "Ilseung", "non-dropping-particle" : "", "parse-names" : false, "suffix" : "" }, { "dropping-particle" : "", "family" : "Ishida", "given" : "Takashi", "non-dropping-particle" : "", "parse-names" : false, "suffix" : "" }, { "dropping-particle" : "", "family" : "Ishitsuka", "given" : "Kenji", "non-dropping-particle" : "", "parse-names" : false, "suffix" : "" }, { "dropping-particle" : "", "family" : "Fukushima", "given" : "Takuya", "non-dropping-particle" : "", "parse-names" : false, "suffix" : "" }, { "dropping-particle" : "", "family" : "Uchimaru", "given" : "Kaoru", "non-dropping-particle" : "", "parse-names" : false, "suffix" : "" }, { "dropping-particle" : "", "family" : "Takaori-Kondo", "given" : "Akifumi", "non-dropping-particle" : "", "parse-names" : false, "suffix" : "" }, { "dropping-particle" : "", "family" : "Tokura", "given" : "Yoshiki", "non-dropping-particle" : "", "parse-names" : false, "suffix" : "" }, { "dropping-particle" : "", "family" : "Utsunomiya", "given" : "Atae", "non-dropping-particle" : "", "parse-names" : false, "suffix" : "" }, { "dropping-particle" : "", "family" : "Matsuoka", "given" : "Masao", "non-dropping-particle" : "", "parse-names" : false, "suffix" : "" }, { "dropping-particle" : "", "family" : "Tsukasaki", "given" : "Kunihiro", "non-dropping-particle" : "", "parse-names" : false, "suffix" : "" }, { "dropping-particle" : "", "family" : "Watanabe", "given" : "Toshiki", "non-dropping-particle" : "", "parse-names" : false, "suffix" : "" } ], "container-title" : "Journal of Clinical Oncology", "id" : "ITEM-2", "issue" : "8", "issued" : { "date-parts" : [ [ "2019" ] ] }, "page" : "677-687", "title" : "Revised adult T-cell leukemia-lymphoma international consensus meeting report", "type" : "article-journal", "volume" : "37" }, "uris" : [ "http://www.mendeley.com/documents/?uuid=ed94ce4d-7718-4d55-aee7-6e891f0de83e", "http://www.mendeley.com/documents/?uuid=d591c601-e739-49b7-a5a9-006e59e706e8" ] } ], "mendeley" : { "formattedCitation" : "(18,20)", "plainTextFormattedCitation" : "(18,20)", "previouslyFormattedCitation" : "(18,20)"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(18,20)</w:t>
      </w:r>
      <w:r>
        <w:rPr>
          <w:rFonts w:ascii="Arial" w:hAnsi="Arial" w:cs="Arial"/>
          <w:sz w:val="20"/>
          <w:szCs w:val="20"/>
        </w:rPr>
        <w:fldChar w:fldCharType="end"/>
      </w:r>
      <w:r>
        <w:rPr>
          <w:rFonts w:ascii="Arial" w:hAnsi="Arial" w:cs="Arial"/>
          <w:sz w:val="20"/>
          <w:szCs w:val="20"/>
        </w:rPr>
        <w:t xml:space="preserve"> </w:t>
      </w:r>
      <w:r w:rsidR="00D50373">
        <w:rPr>
          <w:rFonts w:ascii="Arial" w:hAnsi="Arial" w:cs="Arial"/>
          <w:sz w:val="20"/>
          <w:szCs w:val="20"/>
        </w:rPr>
        <w:t>Con respecto a la variante aguda, la</w:t>
      </w:r>
      <w:r>
        <w:rPr>
          <w:rFonts w:ascii="Arial" w:hAnsi="Arial" w:cs="Arial"/>
          <w:sz w:val="20"/>
          <w:szCs w:val="20"/>
        </w:rPr>
        <w:t xml:space="preserve"> terapia basada en </w:t>
      </w:r>
      <w:proofErr w:type="spellStart"/>
      <w:r>
        <w:rPr>
          <w:rFonts w:ascii="Arial" w:hAnsi="Arial" w:cs="Arial"/>
          <w:sz w:val="20"/>
          <w:szCs w:val="20"/>
        </w:rPr>
        <w:t>Zidovudina</w:t>
      </w:r>
      <w:proofErr w:type="spellEnd"/>
      <w:r>
        <w:rPr>
          <w:rFonts w:ascii="Arial" w:hAnsi="Arial" w:cs="Arial"/>
          <w:sz w:val="20"/>
          <w:szCs w:val="20"/>
        </w:rPr>
        <w:t xml:space="preserve"> e interferón</w:t>
      </w:r>
      <w:r w:rsidR="00D50373">
        <w:rPr>
          <w:rFonts w:ascii="Arial" w:hAnsi="Arial" w:cs="Arial"/>
          <w:sz w:val="20"/>
          <w:szCs w:val="20"/>
        </w:rPr>
        <w:t xml:space="preserve"> tienen mayor beneficio</w:t>
      </w:r>
      <w:r>
        <w:rPr>
          <w:rFonts w:ascii="Arial" w:hAnsi="Arial" w:cs="Arial"/>
          <w:sz w:val="20"/>
          <w:szCs w:val="20"/>
        </w:rPr>
        <w:t xml:space="preserve">, acorde con los datos del </w:t>
      </w:r>
      <w:proofErr w:type="spellStart"/>
      <w:r>
        <w:rPr>
          <w:rFonts w:ascii="Arial" w:hAnsi="Arial" w:cs="Arial"/>
          <w:sz w:val="20"/>
          <w:szCs w:val="20"/>
        </w:rPr>
        <w:t>metaanálisis</w:t>
      </w:r>
      <w:proofErr w:type="spellEnd"/>
      <w:r>
        <w:rPr>
          <w:rFonts w:ascii="Arial" w:hAnsi="Arial" w:cs="Arial"/>
          <w:sz w:val="20"/>
          <w:szCs w:val="20"/>
        </w:rPr>
        <w:t xml:space="preserve"> de </w:t>
      </w:r>
      <w:proofErr w:type="spellStart"/>
      <w:r>
        <w:rPr>
          <w:rFonts w:ascii="Arial" w:hAnsi="Arial" w:cs="Arial"/>
          <w:sz w:val="20"/>
          <w:szCs w:val="20"/>
        </w:rPr>
        <w:t>Bazarbachi</w:t>
      </w:r>
      <w:proofErr w:type="spellEnd"/>
      <w:r>
        <w:rPr>
          <w:rFonts w:ascii="Arial" w:hAnsi="Arial" w:cs="Arial"/>
          <w:sz w:val="20"/>
          <w:szCs w:val="20"/>
        </w:rPr>
        <w:t xml:space="preserve"> y </w:t>
      </w:r>
      <w:proofErr w:type="spellStart"/>
      <w:r>
        <w:rPr>
          <w:rFonts w:ascii="Arial" w:hAnsi="Arial" w:cs="Arial"/>
          <w:sz w:val="20"/>
          <w:szCs w:val="20"/>
        </w:rPr>
        <w:t>cols</w:t>
      </w:r>
      <w:proofErr w:type="spellEnd"/>
      <w:r>
        <w:rPr>
          <w:rFonts w:ascii="Arial" w:hAnsi="Arial" w:cs="Arial"/>
          <w:sz w:val="20"/>
          <w:szCs w:val="20"/>
        </w:rPr>
        <w:t xml:space="preserve"> que evidenció supervivencia global a 5 añ</w:t>
      </w:r>
      <w:r w:rsidRPr="00251EFB">
        <w:rPr>
          <w:rFonts w:ascii="Arial" w:hAnsi="Arial" w:cs="Arial"/>
          <w:sz w:val="20"/>
          <w:szCs w:val="20"/>
        </w:rPr>
        <w:t xml:space="preserve">os de 46% </w:t>
      </w:r>
      <w:r>
        <w:rPr>
          <w:rFonts w:ascii="Arial" w:hAnsi="Arial" w:cs="Arial"/>
          <w:sz w:val="20"/>
          <w:szCs w:val="20"/>
        </w:rPr>
        <w:t xml:space="preserve">en aquellos </w:t>
      </w:r>
      <w:r w:rsidRPr="00251EFB">
        <w:rPr>
          <w:rFonts w:ascii="Arial" w:hAnsi="Arial" w:cs="Arial"/>
          <w:sz w:val="20"/>
          <w:szCs w:val="20"/>
        </w:rPr>
        <w:t>pacientes que recib</w:t>
      </w:r>
      <w:r>
        <w:rPr>
          <w:rFonts w:ascii="Arial" w:hAnsi="Arial" w:cs="Arial"/>
          <w:sz w:val="20"/>
          <w:szCs w:val="20"/>
        </w:rPr>
        <w:t>ía</w:t>
      </w:r>
      <w:r w:rsidRPr="00251EFB">
        <w:rPr>
          <w:rFonts w:ascii="Arial" w:hAnsi="Arial" w:cs="Arial"/>
          <w:sz w:val="20"/>
          <w:szCs w:val="20"/>
        </w:rPr>
        <w:t>n tratamiento antiviral de primera línea</w:t>
      </w:r>
      <w:r>
        <w:rPr>
          <w:rFonts w:ascii="Arial" w:hAnsi="Arial" w:cs="Arial"/>
          <w:sz w:val="20"/>
          <w:szCs w:val="20"/>
        </w:rPr>
        <w:t xml:space="preserve"> en contraposición a sólo e</w:t>
      </w:r>
      <w:r w:rsidRPr="00251EFB">
        <w:rPr>
          <w:rFonts w:ascii="Arial" w:hAnsi="Arial" w:cs="Arial"/>
          <w:sz w:val="20"/>
          <w:szCs w:val="20"/>
        </w:rPr>
        <w:t xml:space="preserve">l 20% para </w:t>
      </w:r>
      <w:r>
        <w:rPr>
          <w:rFonts w:ascii="Arial" w:hAnsi="Arial" w:cs="Arial"/>
          <w:sz w:val="20"/>
          <w:szCs w:val="20"/>
        </w:rPr>
        <w:t xml:space="preserve">aquellos </w:t>
      </w:r>
      <w:r w:rsidRPr="00251EFB">
        <w:rPr>
          <w:rFonts w:ascii="Arial" w:hAnsi="Arial" w:cs="Arial"/>
          <w:sz w:val="20"/>
          <w:szCs w:val="20"/>
        </w:rPr>
        <w:t>pacientes que recibieron quimioterapia como tratamiento de primera línea</w:t>
      </w:r>
      <w:r w:rsidR="00D50373">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"10.1200/JCO.2010.28.0669", "ISSN" : "1527-7755 (Electronic)", "PMID" : "20585095", "abstract" : "PURPOSE: Human T-cell lymphotropic virus type-I-associated adult T-cell leukemia/lymphoma (ATL) is an aggressive, chemotherapy-resistant malignancy. Multiple small studies using zidovudine (AZT) and interferon-alfa (IFN-alpha) have shown response in patients with ATL. However, the impact of this innovative antiviral treatment strategy on long-term survival remains undetermined. PATIENTS AND METHODS: We report a meta-analysis of antiviral therapy of ATL. Medical records of 254 patients with ATL who were treated in the United States, the United Kingdom, Martinique, and continental France were individually reviewed. RESULTS: According to Shimoyama classification, there were 116 patients with acute ATL, 18 patients with chronic ATL, 11 patients with smoldering ATL, and 100 patients with ATL lymphoma. In 231 patients with available survival data, first-line therapy was recorded in 207 patients. Five-year overall survival rates were 46% for 75 patients who received first-line antiviral therapy (P = .004), 20% for 77 patients who received first-line chemotherapy, and 12% for 55 patients who received first-line chemotherapy followed by antiviral therapy. Patients with acute, chronic, and smoldering ATL significantly benefited from first-line antiviral therapy, whereas patients with ATL lymphoma experienced a better outcome with chemotherapy. In acute ATL, achievement of complete remission with antiviral therapy resulted in 82% 5-year survival. Antiviral therapy in chronic and smoldering ATL resulted in 100% 5-year survival. Multivariate analysis confirmed that first-line antiviral therapy significantly improves overall survival of patients with ATL (hazard ratio, 0.47; 95% CI, 0.27 to 0.83; P = .021). CONCLUSION: These results confirm the high efficacy of AZT and IFN, which should now be considered the gold standard first-line therapy in leukemic subtypes of ATL.", "author" : [ { "dropping-particle" : "", "family" : "Bazarbachi", "given" : "Ali", "non-dropping-particle" : "", "parse-names" : false, "suffix" : "" }, { "dropping-particle" : "", "family" : "Plumelle", "given" : "Yves", "non-dropping-particle" : "", "parse-names" : false, "suffix" : "" }, { "dropping-particle" : "", "family" : "Carlos Ramos", "given" : "Juan", "non-dropping-particle" : "", "parse-names" : false, "suffix" : "" }, { "dropping-particle" : "", "family" : "Tortevoye", "given" : "Patricia", "non-dropping-particle" : "", "parse-names" : false, "suffix" : "" }, { "dropping-particle" : "", "family" : "Otrock", "given" : "Zaher", "non-dropping-particle" : "", "parse-names" : false, "suffix" : "" }, { "dropping-particle" : "", "family" : "Taylor", "given" : "Graham", "non-dropping-particle" : "", "parse-names" : false, "suffix" : "" }, { "dropping-particle" : "", "family" : "Gessain", "given" : "Antoine", "non-dropping-particle" : "", "parse-names" : false, "suffix" : "" }, { "dropping-particle" : "", "family" : "Harrington", "given" : "William", "non-dropping-particle" : "", "parse-names" : false, "suffix" : "" }, { "dropping-particle" : "", "family" : "Panelatti", "given" : "Gerard", "non-dropping-particle" : "", "parse-names" : false, "suffix" : "" }, { "dropping-particle" : "", "family" : "Hermine", "given" : "Olivier", "non-dropping-particle" : "", "parse-names" : false, "suffix" : "" } ], "container-title" : "Journal of clinical oncology : official journal of the American Society of Clinical Oncology", "id" : "ITEM-1", "issue" : "27", "issued" : { "date-parts" : [ [ "2010", "9" ] ] }, "language" : "eng", "page" : "4177-4183", "publisher-place" : "United States", "title" : "Meta-analysis on the use of zidovudine and interferon-alfa in adult T-cell leukemia/lymphoma showing improved survival in the leukemic subtypes.", "type" : "article-journal", "volume" : "28" }, "uris" : [ "http://www.mendeley.com/documents/?uuid=80cb288a-9c5d-4ad6-802f-da4c0a5eff33", "http://www.mendeley.com/documents/?uuid=9decce4c-b2b8-4d67-a016-6abc72d56b19" ] } ], "mendeley" : { "formattedCitation" : "(21)", "plainTextFormattedCitation" : "(21)", "previouslyFormattedCitation" : "(21)"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(21)</w:t>
      </w:r>
      <w:r>
        <w:rPr>
          <w:rFonts w:ascii="Arial" w:hAnsi="Arial" w:cs="Arial"/>
          <w:sz w:val="20"/>
          <w:szCs w:val="20"/>
        </w:rPr>
        <w:fldChar w:fldCharType="end"/>
      </w:r>
      <w:r>
        <w:rPr>
          <w:rFonts w:ascii="Arial" w:hAnsi="Arial" w:cs="Arial"/>
          <w:sz w:val="20"/>
          <w:szCs w:val="20"/>
        </w:rPr>
        <w:t xml:space="preserve"> A la par, el rol del trasplante </w:t>
      </w:r>
      <w:proofErr w:type="spellStart"/>
      <w:r>
        <w:rPr>
          <w:rFonts w:ascii="Arial" w:hAnsi="Arial" w:cs="Arial"/>
          <w:sz w:val="20"/>
          <w:szCs w:val="20"/>
        </w:rPr>
        <w:t>alogénico</w:t>
      </w:r>
      <w:proofErr w:type="spellEnd"/>
      <w:r>
        <w:rPr>
          <w:rFonts w:ascii="Arial" w:hAnsi="Arial" w:cs="Arial"/>
          <w:sz w:val="20"/>
          <w:szCs w:val="20"/>
        </w:rPr>
        <w:t xml:space="preserve">, anticuerpos anti-CCR4 como </w:t>
      </w:r>
      <w:proofErr w:type="spellStart"/>
      <w:r>
        <w:rPr>
          <w:rFonts w:ascii="Arial" w:hAnsi="Arial" w:cs="Arial"/>
          <w:sz w:val="20"/>
          <w:szCs w:val="20"/>
        </w:rPr>
        <w:t>mogamulizumab</w:t>
      </w:r>
      <w:proofErr w:type="spellEnd"/>
      <w:r>
        <w:rPr>
          <w:rFonts w:ascii="Arial" w:hAnsi="Arial" w:cs="Arial"/>
          <w:sz w:val="20"/>
          <w:szCs w:val="20"/>
        </w:rPr>
        <w:t xml:space="preserve"> </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"10.3324/haematol.2018.205096", "ISSN" : "15928721", "abstract" : "Mogamulizumab, a humanized defucosylated anti-C-C chemokine receptor 4 monoclonal antibody, has been approved in Japan for the treatment of C-C chemokine receptor 4-positive adult T-cell leukemia/lymphoma (ATL). This phase II study evaluated efficacy and safety of mogamulizumab in ATL patients with acute, lymphoma, and chronic subtypes with relapsed/refractory, aggressive disease in the US, Europe, and Latin America. With stratification by subtype, patients were randomized 2:1 to intravenous mogamulizumab 1.0 mg/kg once weekly for 4 weeks and biweekly thereafter (n=47) or investigator\u2019s choice of chemotherapy (n=24). The primary end point was confirmed overall response rate (cORR) confirmed on a subsequent assessment at 8 weeks by blinded independent review. ORR was 11% (95%CI: 4-23%) and 0% (95%CI: 0-14%) in the mogamulizumab and chemotherapy arms, respectively. Best response was 28% and 8% in the respective arms. The observed hazard ratio for progression-free survival was 0.71 (95%CI: 0.41-1.21) and, after post hoc adjustment for performance status imbalance, 0.57 (95%CI: 0.337-0.983). The most frequent treatment-related adverse (grade \u22653) events with mogamulizumab were infusion-related reaction and thrombocytopenia (each 9%). Relapsed/refractory ATL is an aggressive, poor prognosis disease with a high unmet need. Investigator\u2019s choice chemotherapy did not result in tumor response in this trial; however, mogamulizumab treatment resulted in 11% cORR, with a tolerable safety profile. Trial registered at clinicaltrials.gov identifier: 01626664.", "author" : [ { "dropping-particle" : "", "family" : "Phillips", "given" : "Adrienne A.", "non-dropping-particle" : "", "parse-names" : false, "suffix" : "" }, { "dropping-particle" : "", "family" : "Fields", "given" : "Paul A.", "non-dropping-particle" : "", "parse-names" : false, "suffix" : "" }, { "dropping-particle" : "", "family" : "Hermine", "given" : "Olivier", "non-dropping-particle" : "", "parse-names" : false, "suffix" : "" }, { "dropping-particle" : "", "family" : "Ramos", "given" : "Juan C.", "non-dropping-particle" : "", "parse-names" : false, "suffix" : "" }, { "dropping-particle" : "", "family" : "Beltran", "given" : "Brady E.", "non-dropping-particle" : "", "parse-names" : false, "suffix" : "" }, { "dropping-particle" : "", "family" : "Pereira", "given" : "Juliana", "non-dropping-particle" : "", "parse-names" : false, "suffix" : "" }, { "dropping-particle" : "", "family" : "Wandroo", "given" : "Farooq", "non-dropping-particle" : "", "parse-names" : false, "suffix" : "" }, { "dropping-particle" : "", "family" : "Feldman", "given" : "Tatyana", "non-dropping-particle" : "", "parse-names" : false, "suffix" : "" }, { "dropping-particle" : "", "family" : "Taylor", "given" : "Graham P.", "non-dropping-particle" : "", "parse-names" : false, "suffix" : "" }, { "dropping-particle" : "", "family" : "Sawas", "given" : "Ahmed", "non-dropping-particle" : "", "parse-names" : false, "suffix" : "" }, { "dropping-particle" : "", "family" : "Humphrey", "given" : "Jeffrey", "non-dropping-particle" : "", "parse-names" : false, "suffix" : "" }, { "dropping-particle" : "", "family" : "Kurman", "given" : "Michael", "non-dropping-particle" : "", "parse-names" : false, "suffix" : "" }, { "dropping-particle" : "", "family" : "Moriya", "given" : "Junji", "non-dropping-particle" : "", "parse-names" : false, "suffix" : "" }, { "dropping-particle" : "", "family" : "Dwyer", "given" : "Karen", "non-dropping-particle" : "", "parse-names" : false, "suffix" : "" }, { "dropping-particle" : "", "family" : "Leoni", "given" : "Mollie", "non-dropping-particle" : "", "parse-names" : false, "suffix" : "" }, { "dropping-particle" : "", "family" : "Conlon", "given" : "Kevin", "non-dropping-particle" : "", "parse-names" : false, "suffix" : "" }, { "dropping-particle" : "", "family" : "Cook", "given" : "Lucy", "non-dropping-particle" : "", "parse-names" : false, "suffix" : "" }, { "dropping-particle" : "", "family" : "Gonsky", "given" : "Jason", "non-dropping-particle" : "", "parse-names" : false, "suffix" : "" }, { "dropping-particle" : "", "family" : "Horwitz", "given" : "Steven M.", "non-dropping-particle" : "", "parse-names" : false, "suffix" : "" } ], "container-title" : "Haematologica", "id" : "ITEM-1", "issue" : "5", "issued" : { "date-parts" : [ [ "2019" ] ] }, "page" : "993-1003", "title" : "Mogamulizumab versus investigator\u2019s choice of chemotherapy regimen in relapsed/ refractory adult T-cell leukemia/lymphoma", "type" : "article-journal", "volume" : "104" }, "uris" : [ "http://www.mendeley.com/documents/?uuid=9f54a137-fb5a-458a-8f64-75d45cd285a1", "http://www.mendeley.com/documents/?uuid=93f7e1ec-d899-45af-af46-e0bdb0d9f47a" ] } ], "mendeley" : { "formattedCitation" : "(22)", "plainTextFormattedCitation" : "(22)", "previouslyFormattedCitation" : "(22)"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inmunomoduladores</w:t>
      </w:r>
      <w:proofErr w:type="spellEnd"/>
      <w:r>
        <w:rPr>
          <w:rFonts w:ascii="Arial" w:hAnsi="Arial" w:cs="Arial"/>
          <w:sz w:val="20"/>
          <w:szCs w:val="20"/>
        </w:rPr>
        <w:t xml:space="preserve"> como </w:t>
      </w:r>
      <w:proofErr w:type="spellStart"/>
      <w:r>
        <w:rPr>
          <w:rFonts w:ascii="Arial" w:hAnsi="Arial" w:cs="Arial"/>
          <w:sz w:val="20"/>
          <w:szCs w:val="20"/>
        </w:rPr>
        <w:t>lenalidomida</w:t>
      </w:r>
      <w:proofErr w:type="spellEnd"/>
      <w:r>
        <w:rPr>
          <w:rFonts w:ascii="Arial" w:hAnsi="Arial" w:cs="Arial"/>
          <w:sz w:val="20"/>
          <w:szCs w:val="20"/>
        </w:rPr>
        <w:t xml:space="preserve">, </w:t>
      </w:r>
      <w:proofErr w:type="spellStart"/>
      <w:r>
        <w:rPr>
          <w:rFonts w:ascii="Arial" w:hAnsi="Arial" w:cs="Arial"/>
          <w:sz w:val="20"/>
          <w:szCs w:val="20"/>
        </w:rPr>
        <w:t>brentuximab</w:t>
      </w:r>
      <w:proofErr w:type="spellEnd"/>
      <w:r>
        <w:rPr>
          <w:rFonts w:ascii="Arial" w:hAnsi="Arial" w:cs="Arial"/>
          <w:sz w:val="20"/>
          <w:szCs w:val="20"/>
        </w:rPr>
        <w:t xml:space="preserve"> en las formas CD30 positivas y el trióxido de arsénico están adosados al tratamiento, aunque no disponibles en todas las latitudes y se describen en las guías de manejo</w:t>
      </w:r>
      <w:r w:rsidR="00111EA9">
        <w:rPr>
          <w:rFonts w:ascii="Arial" w:hAnsi="Arial" w:cs="Arial"/>
          <w:sz w:val="20"/>
          <w:szCs w:val="20"/>
        </w:rPr>
        <w:t>.</w:t>
      </w:r>
      <w:r>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"10.1200/JCO.18.00501", "ISSN" : "15277755", "abstract" : "PURPOSE Adult T-cell leukemia-lymphoma (ATL) is a distinct mature T-cell malignancy caused by chronic infection with human T-lymphotropic virus type 1 with diverse clinical features and prognosis. ATL remains a challenging disease as a result of its diverse clinical features, multidrug resistance of malignant cells, frequent large tumor burden, hypercalcemia, and/or frequent opportunistic infection. In 2009, we published a consensus report to define prognostic factors, clinical subclassifications, treatment strategies, and response criteria. The 2009 consensus report has become the standard reference for clinical trials in ATL and a guide for clinical management. Since the last consensus there has been progress in the understanding of the molecular pathophysiology of ATL and risk-adapted treatment approaches. METHODS Reflecting these advances, ATL researchers and clinicians joined together at the 18th International Conference on Human Retrovirology\u2014Human T-Lymphotropic Virus and Related Retroviruses\u2014in Tokyo, Japan, March, 2017, to review evidence for current clinical practice and to update the consensus with a new focus on the subtype classification of cutaneous ATL, CNS lesions in aggressive ATL, management of elderly or transplantation-ineligible patients, and treatment strategies that incorporate up-front allogeneic hematopoietic stem-cell transplantation and novel agents. RESULTS As a result of lower-quality clinical evidence, a best practice approach was adopted and consensus statements agreed on by coauthors (. 90% agreement). CONCLUSION This expert consensus highlights the need for additional clinical trials to develop novel standard therapies for the treatment of ATL", "author" : [ { "dropping-particle" : "", "family" : "Cook", "given" : "Lucy B.", "non-dropping-particle" : "", "parse-names" : false, "suffix" : "" }, { "dropping-particle" : "", "family" : "Fuji", "given" : "Shigeo",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"Ramos", "given" : "Juan Carlos", "non-dropping-particle" : "", "parse-names" : false, "suffix" : "" }, { "dropping-particle" : "", "family" : "Ratner", "given" : "Lee", "non-dropping-particle" : "", "parse-names" : false, "suffix" : "" }, { "dropping-particle" : "", "family" : "Horwitz", "given" : "Steve", "non-dropping-particle" : "", "parse-names" : false, "suffix" : "" }, { "dropping-particle" : "", "family" : "Fields", "given" : "Paul", "non-dropping-particle" : "", "parse-names" : false, "suffix" : "" }, { "dropping-particle" : "", "family" : "Tanase", "given" : "Alina", "non-dropping-particle" : "", "parse-names" : false, "suffix" : "" }, { "dropping-particle" : "", "family" : "Bumbea", "given" : "Horia", "non-dropping-particle" : "", "parse-names" : false, "suffix" : "" }, { "dropping-particle" : "", "family" : "Cwynarski", "given" : "Kate", "non-dropping-particle" : "", "parse-names" : false, "suffix" : "" }, { "dropping-particle" : "", "family" : "Taylor", "given" : "Graham", "non-dropping-particle" : "", "parse-names" : false, "suffix" : "" }, { "dropping-particle" : "", "family" : "Waldmann", "given" : "Thomas A.", "non-dropping-particle" : "", "parse-names" : false, "suffix" : "" }, { "dropping-particle" : "", "family" : "Bittencourt", "given" : "Achilea", "non-dropping-particle" : "", "parse-names" : false, "suffix" : "" }, { "dropping-particle" : "", "family" : "Marcais", "given" : "Ambroise", "non-dropping-particle" : "", "parse-names" : false, "suffix" : "" }, { "dropping-particle" : "", "family" : "Suarez", "given" : "Felipe", "non-dropping-particle" : "", "parse-names" : false, "suffix" : "" }, { "dropping-particle" : "", "family" : "Sibon", "given" : "David", "non-dropping-particle" : "", "parse-names" : false, "suffix" : "" }, { "dropping-particle" : "", "family" : "Phillips", "given" : "Adrienne", "non-dropping-particle" : "", "parse-names" : false, "suffix" : "" }, { "dropping-particle" : "", "family" : "Lunning", "given" : "Matthew", "non-dropping-particle" : "", "parse-names" : false, "suffix" : "" }, { "dropping-particle" : "", "family" : "Farid", "given" : "Reza", "non-dropping-particle" : "", "parse-names" : false, "suffix" : "" }, { "dropping-particle" : "", "family" : "Imaizumi", "given" : "Yoshitaka", "non-dropping-particle" : "", "parse-names" : false, "suffix" : "" }, { "dropping-particle" : "", "family" : "Choi", "given" : "Ilseung", "non-dropping-particle" : "", "parse-names" : false, "suffix" : "" }, { "dropping-particle" : "", "family" : "Ishida", "given" : "Takashi", "non-dropping-particle" : "", "parse-names" : false, "suffix" : "" }, { "dropping-particle" : "", "family" : "Ishitsuka", "given" : "Kenji", "non-dropping-particle" : "", "parse-names" : false, "suffix" : "" }, { "dropping-particle" : "", "family" : "Fukushima", "given" : "Takuya", "non-dropping-particle" : "", "parse-names" : false, "suffix" : "" }, { "dropping-particle" : "", "family" : "Uchimaru", "given" : "Kaoru", "non-dropping-particle" : "", "parse-names" : false, "suffix" : "" }, { "dropping-particle" : "", "family" : "Takaori-Kondo", "given" : "Akifumi", "non-dropping-particle" : "", "parse-names" : false, "suffix" : "" }, { "dropping-particle" : "", "family" : "Tokura", "given" : "Yoshiki", "non-dropping-particle" : "", "parse-names" : false, "suffix" : "" }, { "dropping-particle" : "", "family" : "Utsunomiya", "given" : "Atae", "non-dropping-particle" : "", "parse-names" : false, "suffix" : "" }, { "dropping-particle" : "", "family" : "Matsuoka", "given" : "Masao", "non-dropping-particle" : "", "parse-names" : false, "suffix" : "" }, { "dropping-particle" : "", "family" : "Tsukasaki", "given" : "Kunihiro", "non-dropping-particle" : "", "parse-names" : false, "suffix" : "" }, { "dropping-particle" : "", "family" : "Watanabe", "given" : "Toshiki", "non-dropping-particle" : "", "parse-names" : false, "suffix" : "" } ], "container-title" : "Journal of Clinical Oncology", "id" : "ITEM-1", "issue" : "8", "issued" : { "date-parts" : [ [ "2019" ] ] }, "page" : "677-687", "title" : "Revised adult T-cell leukemia-lymphoma international consensus meeting report", "type" : "article-journal", "volume" : "37" }, "uris" : [ "http://www.mendeley.com/documents/?uuid=ed94ce4d-7718-4d55-aee7-6e891f0de83e", "http://www.mendeley.com/documents/?uuid=d591c601-e739-49b7-a5a9-006e59e706e8" ] }, { "id" : "ITEM-2", "itemData" : { "DOI" : "10.1053/j.semdp.2019.12.006", "ISSN" : "19301111", "abstract" : "Adult T-cell leukemia/lymphoma (ATLL) is a mature T-cell lymphoproliferative disorder associated with the human T lymphotropic virus (HTLV-1) infection. ATLL predominantly affects individuals within HTLV-1 endemic areas such as Japan, areas of Africa, South America, and the Caribbean. HTLV-1 preferentially infects CD4+ T-cells, and several genetic hits must occur before ATLL develops. ATLL is classically divided into four clinical variants based on manifestations of disease: acute, chronic, lymphomatous, and smouldering. As of 2019, a new subtype has been described: lymphoma type of ATL, extranodal primary cutaneous. In this review, emphasis will be taken to describe the common clinicopathologic manifestations of the disease, advances in biomarker discovery, mutational landscape and targeted therapeutic approaches to treat this highly aggressive and frequently lethal type of T-cell lymphoma.", "author" : [ { "dropping-particle" : "", "family" : "Adkins", "given" : "Brian D.", "non-dropping-particle" : "", "parse-names" : false, "suffix" : "" }, { "dropping-particle" : "", "family" : "Ramos", "given" : "Juan C.", "non-dropping-particle" : "", "parse-names" : false, "suffix" : "" }, { "dropping-particle" : "", "family" : "Bliss-Moreau", "given" : "Meghan", "non-dropping-particle" : "", "parse-names" : false, "suffix" : "" }, { "dropping-particle" : "", "family" : "Gru", "given" : "Alejandro A.", "non-dropping-particle" : "", "parse-names" : false, "suffix" : "" } ], "container-title" : "Seminars in Diagnostic Pathology", "id" : "ITEM-2", "issue" : "1", "issued" : { "date-parts" : [ [ "2020" ] ] }, "page" : "1-10", "publisher" : "Elsevier", "title" : "Updates in lymph node and skin pathology of adult T-cell leukemia/lymphoma, biomarkers, and beyond", "type" : "article-journal", "volume" : "37" }, "uris" : [ "http://www.mendeley.com/documents/?uuid=c1dcb411-6f3f-4b78-998e-344e8cda8b46", "http://www.mendeley.com/documents/?uuid=97386c2a-076f-4f4a-a4a0-cb02312dba15", "http://www.mendeley.com/documents/?uuid=e45ff1d3-69dd-4a3c-8258-7d8fddd8835b" ] } ], "mendeley" : { "formattedCitation" : "(12,18)", "plainTextFormattedCitation" : "(12,18)", "previouslyFormattedCitation" : "(12,18)" }, "properties" : {  }, "schema" : "https://github.com/citation-style-language/schema/raw/master/csl-citation.json" }</w:instrText>
      </w:r>
      <w:r>
        <w:rPr>
          <w:rFonts w:ascii="Arial" w:hAnsi="Arial" w:cs="Arial"/>
          <w:sz w:val="20"/>
          <w:szCs w:val="20"/>
        </w:rPr>
        <w:fldChar w:fldCharType="separate"/>
      </w:r>
      <w:r w:rsidR="00111EA9" w:rsidRPr="00111EA9">
        <w:rPr>
          <w:rFonts w:ascii="Arial" w:hAnsi="Arial" w:cs="Arial"/>
          <w:noProof/>
          <w:sz w:val="20"/>
          <w:szCs w:val="20"/>
        </w:rPr>
        <w:t>(12,18)</w:t>
      </w:r>
      <w:r>
        <w:rPr>
          <w:rFonts w:ascii="Arial" w:hAnsi="Arial" w:cs="Arial"/>
          <w:sz w:val="20"/>
          <w:szCs w:val="20"/>
        </w:rPr>
        <w:fldChar w:fldCharType="end"/>
      </w:r>
    </w:p>
    <w:p w14:paraId="0C5C84BE" w14:textId="77777777" w:rsidR="005031A0" w:rsidRDefault="005031A0" w:rsidP="00D50373">
      <w:pPr>
        <w:jc w:val="both"/>
        <w:rPr>
          <w:rFonts w:ascii="Arial" w:hAnsi="Arial" w:cs="Arial"/>
          <w:sz w:val="20"/>
          <w:szCs w:val="20"/>
        </w:rPr>
      </w:pPr>
    </w:p>
    <w:p w14:paraId="0B878E24" w14:textId="77777777" w:rsidR="004164DA" w:rsidRDefault="004164DA" w:rsidP="00D50373">
      <w:pPr>
        <w:jc w:val="both"/>
      </w:pPr>
    </w:p>
    <w:p w14:paraId="6A64BEE3" w14:textId="300322EB" w:rsidR="004164DA" w:rsidRPr="00B20301" w:rsidRDefault="001971B4" w:rsidP="00D50373">
      <w:pPr>
        <w:jc w:val="both"/>
        <w:rPr>
          <w:rFonts w:ascii="Arial" w:hAnsi="Arial" w:cs="Arial"/>
          <w:b/>
          <w:sz w:val="20"/>
          <w:szCs w:val="20"/>
        </w:rPr>
      </w:pPr>
      <w:r>
        <w:rPr>
          <w:rFonts w:ascii="Arial" w:hAnsi="Arial" w:cs="Arial"/>
          <w:b/>
          <w:sz w:val="20"/>
          <w:szCs w:val="20"/>
        </w:rPr>
        <w:t>1.2</w:t>
      </w:r>
      <w:r w:rsidR="00D126E6" w:rsidRPr="00B20301">
        <w:rPr>
          <w:rFonts w:ascii="Arial" w:hAnsi="Arial" w:cs="Arial"/>
          <w:b/>
          <w:sz w:val="20"/>
          <w:szCs w:val="20"/>
        </w:rPr>
        <w:t xml:space="preserve"> Planteamiento del Problema</w:t>
      </w:r>
    </w:p>
    <w:p w14:paraId="39C01605" w14:textId="77777777" w:rsidR="00D126E6" w:rsidRDefault="00D126E6" w:rsidP="00D50373">
      <w:pPr>
        <w:jc w:val="both"/>
      </w:pPr>
    </w:p>
    <w:p w14:paraId="4E8812D7" w14:textId="75608DEB" w:rsidR="00D126E6" w:rsidRPr="00D126E6" w:rsidRDefault="003F3BBB" w:rsidP="00D126E6">
      <w:pPr>
        <w:jc w:val="both"/>
        <w:rPr>
          <w:rFonts w:ascii="Arial" w:hAnsi="Arial" w:cs="Arial"/>
          <w:b/>
          <w:sz w:val="20"/>
          <w:szCs w:val="20"/>
        </w:rPr>
      </w:pPr>
      <w:r>
        <w:rPr>
          <w:rFonts w:ascii="Arial" w:hAnsi="Arial" w:cs="Arial"/>
          <w:sz w:val="20"/>
          <w:szCs w:val="20"/>
        </w:rPr>
        <w:t>El ATLL</w:t>
      </w:r>
      <w:r w:rsidR="00D126E6" w:rsidRPr="00D126E6">
        <w:rPr>
          <w:rFonts w:ascii="Arial" w:hAnsi="Arial" w:cs="Arial"/>
          <w:sz w:val="20"/>
          <w:szCs w:val="20"/>
        </w:rPr>
        <w:t xml:space="preserve"> es una neoplasia de comportamiento diverso, </w:t>
      </w:r>
      <w:r w:rsidR="00FC74DE">
        <w:rPr>
          <w:rFonts w:ascii="Arial" w:hAnsi="Arial" w:cs="Arial"/>
          <w:sz w:val="20"/>
          <w:szCs w:val="20"/>
        </w:rPr>
        <w:t xml:space="preserve">pero por lo general </w:t>
      </w:r>
      <w:r w:rsidR="00D126E6" w:rsidRPr="00D126E6">
        <w:rPr>
          <w:rFonts w:ascii="Arial" w:hAnsi="Arial" w:cs="Arial"/>
          <w:sz w:val="20"/>
          <w:szCs w:val="20"/>
        </w:rPr>
        <w:t xml:space="preserve">agresiva que puede cursar con manifestaciones cutáneas </w:t>
      </w:r>
      <w:r w:rsidR="00B20301">
        <w:rPr>
          <w:rFonts w:ascii="Arial" w:hAnsi="Arial" w:cs="Arial"/>
          <w:sz w:val="20"/>
          <w:szCs w:val="20"/>
        </w:rPr>
        <w:t>diversas (pápulas, nó</w:t>
      </w:r>
      <w:r w:rsidR="008F4FA6">
        <w:rPr>
          <w:rFonts w:ascii="Arial" w:hAnsi="Arial" w:cs="Arial"/>
          <w:sz w:val="20"/>
          <w:szCs w:val="20"/>
        </w:rPr>
        <w:t>dulos, tumore</w:t>
      </w:r>
      <w:r w:rsidR="00111EA9">
        <w:rPr>
          <w:rFonts w:ascii="Arial" w:hAnsi="Arial" w:cs="Arial"/>
          <w:sz w:val="20"/>
          <w:szCs w:val="20"/>
        </w:rPr>
        <w:t>s</w:t>
      </w:r>
      <w:r w:rsidR="006961D8">
        <w:rPr>
          <w:rFonts w:ascii="Arial" w:hAnsi="Arial" w:cs="Arial"/>
          <w:sz w:val="20"/>
          <w:szCs w:val="20"/>
        </w:rPr>
        <w:t xml:space="preserve">, </w:t>
      </w:r>
      <w:proofErr w:type="spellStart"/>
      <w:r w:rsidR="006961D8">
        <w:rPr>
          <w:rFonts w:ascii="Arial" w:hAnsi="Arial" w:cs="Arial"/>
          <w:sz w:val="20"/>
          <w:szCs w:val="20"/>
        </w:rPr>
        <w:t>eritrodermia</w:t>
      </w:r>
      <w:proofErr w:type="spellEnd"/>
      <w:r w:rsidR="006961D8">
        <w:rPr>
          <w:rFonts w:ascii="Arial" w:hAnsi="Arial" w:cs="Arial"/>
          <w:sz w:val="20"/>
          <w:szCs w:val="20"/>
        </w:rPr>
        <w:t xml:space="preserve"> y </w:t>
      </w:r>
      <w:proofErr w:type="spellStart"/>
      <w:r w:rsidR="006961D8">
        <w:rPr>
          <w:rFonts w:ascii="Arial" w:hAnsi="Arial" w:cs="Arial"/>
          <w:sz w:val="20"/>
          <w:szCs w:val="20"/>
        </w:rPr>
        <w:t>purpúrica</w:t>
      </w:r>
      <w:proofErr w:type="spellEnd"/>
      <w:r w:rsidR="008F4FA6">
        <w:rPr>
          <w:rFonts w:ascii="Arial" w:hAnsi="Arial" w:cs="Arial"/>
          <w:sz w:val="20"/>
          <w:szCs w:val="20"/>
        </w:rPr>
        <w:t>), así como</w:t>
      </w:r>
      <w:r w:rsidR="00D126E6" w:rsidRPr="00D126E6">
        <w:rPr>
          <w:rFonts w:ascii="Arial" w:hAnsi="Arial" w:cs="Arial"/>
          <w:sz w:val="20"/>
          <w:szCs w:val="20"/>
        </w:rPr>
        <w:t xml:space="preserve"> </w:t>
      </w:r>
      <w:r w:rsidR="006961D8">
        <w:rPr>
          <w:rFonts w:ascii="Arial" w:hAnsi="Arial" w:cs="Arial"/>
          <w:sz w:val="20"/>
          <w:szCs w:val="20"/>
        </w:rPr>
        <w:t xml:space="preserve">manifestaciones </w:t>
      </w:r>
      <w:r w:rsidR="00D126E6" w:rsidRPr="00D126E6">
        <w:rPr>
          <w:rFonts w:ascii="Arial" w:hAnsi="Arial" w:cs="Arial"/>
          <w:sz w:val="20"/>
          <w:szCs w:val="20"/>
        </w:rPr>
        <w:t xml:space="preserve">sistémicas tales como </w:t>
      </w:r>
      <w:r w:rsidR="008F4FA6">
        <w:rPr>
          <w:rFonts w:ascii="Arial" w:hAnsi="Arial" w:cs="Arial"/>
          <w:sz w:val="20"/>
          <w:szCs w:val="20"/>
        </w:rPr>
        <w:t xml:space="preserve">la </w:t>
      </w:r>
      <w:r w:rsidR="00D126E6" w:rsidRPr="00D126E6">
        <w:rPr>
          <w:rFonts w:ascii="Arial" w:hAnsi="Arial" w:cs="Arial"/>
          <w:sz w:val="20"/>
          <w:szCs w:val="20"/>
        </w:rPr>
        <w:t xml:space="preserve">hipercalcemia severa, </w:t>
      </w:r>
      <w:proofErr w:type="spellStart"/>
      <w:r w:rsidR="00D126E6" w:rsidRPr="00D126E6">
        <w:rPr>
          <w:rFonts w:ascii="Arial" w:hAnsi="Arial" w:cs="Arial"/>
          <w:sz w:val="20"/>
          <w:szCs w:val="20"/>
        </w:rPr>
        <w:t>visceromegalia</w:t>
      </w:r>
      <w:proofErr w:type="spellEnd"/>
      <w:r w:rsidR="00D126E6" w:rsidRPr="00D126E6">
        <w:rPr>
          <w:rFonts w:ascii="Arial" w:hAnsi="Arial" w:cs="Arial"/>
          <w:sz w:val="20"/>
          <w:szCs w:val="20"/>
        </w:rPr>
        <w:t>, aumento de l</w:t>
      </w:r>
      <w:r w:rsidR="008F4FA6">
        <w:rPr>
          <w:rFonts w:ascii="Arial" w:hAnsi="Arial" w:cs="Arial"/>
          <w:sz w:val="20"/>
          <w:szCs w:val="20"/>
        </w:rPr>
        <w:t>a enzima lactato deshidrogenasa.</w:t>
      </w:r>
      <w:r w:rsidR="00111EA9">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"10.1200/JCO.18.00501", "ISSN" : "15277755", "PMID" : "30657736", "abstract" : "PURPOSE Adult T-cell leukemia-lymphoma (ATL) is a distinct mature T-cell malignancy caused by chronic infection with human T-lymphotropic virus type 1 with diverse clinical features and prognosis. ATL remains a challenging disease as a result of its diverse clinical features, multidrug resistance of malignant cells, frequent large tumor burden, hypercalcemia, and/or frequent opportunistic infection. In 2009, we published a consensus report to define prognostic factors, clinical subclassifications, treatment strategies, and response criteria. The 2009 consensus report has become the standard reference for clinical trials in ATL and a guide for clinical management. Since the last consensus there has been progress in the understanding of the molecular pathophysiology of ATL and risk-adapted treatment approaches. METHODS Reflecting these advances, ATL researchers and clinicians joined together at the 18th International Conference on Human Retrovirology\u2014Human T-Lymphotropic Virus and Related Retroviruses\u2014in Tokyo, Japan, March, 2017, to review evidence for current clinical practice and to update the consensus with a new focus on the subtype classification of cutaneous ATL, CNS lesions in aggressive ATL, management of elderly or transplantation-ineligible patients, and treatment strategies that incorporate up-front allogeneic hematopoietic stem-cell transplantation and novel agents. RESULTS As a result of lower-quality clinical evidence, a best practice approach was adopted and consensus statements agreed on by coauthors (. 90% agreement). CONCLUSION This expert consensus highlights the need for additional clinical trials to develop novel standard therapies for the treatment of ATL", "author" : [ { "dropping-particle" : "", "family" : "Cook", "given" : "Lucy B.", "non-dropping-particle" : "", "parse-names" : false, "suffix" : "" }, { "dropping-particle" : "", "family" : "Fuji", "given" : "Shigeo",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"Ramos", "given" : "Juan Carlos", "non-dropping-particle" : "", "parse-names" : false, "suffix" : "" }, { "dropping-particle" : "", "family" : "Ratner", "given" : "Lee", "non-dropping-particle" : "", "parse-names" : false, "suffix" : "" }, { "dropping-particle" : "", "family" : "Horwitz", "given" : "Steve", "non-dropping-particle" : "", "parse-names" : false, "suffix" : "" }, { "dropping-particle" : "", "family" : "Fields", "given" : "Paul", "non-dropping-particle" : "", "parse-names" : false, "suffix" : "" }, { "dropping-particle" : "", "family" : "Tanase", "given" : "Alina", "non-dropping-particle" : "", "parse-names" : false, "suffix" : "" }, { "dropping-particle" : "", "family" : "Bumbea", "given" : "Horia", "non-dropping-particle" : "", "parse-names" : false, "suffix" : "" }, { "dropping-particle" : "", "family" : "Cwynarski", "given" : "Kate", "non-dropping-particle" : "", "parse-names" : false, "suffix" : "" }, { "dropping-particle" : "", "family" : "Taylor", "given" : "Graham", "non-dropping-particle" : "", "parse-names" : false, "suffix" : "" }, { "dropping-particle" : "", "family" : "Waldmann", "given" : "Thomas A.", "non-dropping-particle" : "", "parse-names" : false, "suffix" : "" }, { "dropping-particle" : "", "family" : "Bittencourt", "given" : "Achilea", "non-dropping-particle" : "", "parse-names" : false, "suffix" : "" }, { "dropping-particle" : "", "family" : "Marcais", "given" : "Ambroise", "non-dropping-particle" : "", "parse-names" : false, "suffix" : "" }, { "dropping-particle" : "", "family" : "Suarez", "given" : "Felipe", "non-dropping-particle" : "", "parse-names" : false, "suffix" : "" }, { "dropping-particle" : "", "family" : "Sibon", "given" : "David", "non-dropping-particle" : "", "parse-names" : false, "suffix" : "" }, { "dropping-particle" : "", "family" : "Phillips", "given" : "Adrienne", "non-dropping-particle" : "", "parse-names" : false, "suffix" : "" }, { "dropping-particle" : "", "family" : "Lunning", "given" : "Matthew", "non-dropping-particle" : "", "parse-names" : false, "suffix" : "" }, { "dropping-particle" : "", "family" : "Farid", "given" : "Reza", "non-dropping-particle" : "", "parse-names" : false, "suffix" : "" }, { "dropping-particle" : "", "family" : "Imaizumi", "given" : "Yoshitaka", "non-dropping-particle" : "", "parse-names" : false, "suffix" : "" }, { "dropping-particle" : "", "family" : "Choi", "given" : "Ilseung", "non-dropping-particle" : "", "parse-names" : false, "suffix" : "" }, { "dropping-particle" : "", "family" : "Ishida", "given" : "Takashi", "non-dropping-particle" : "", "parse-names" : false, "suffix" : "" }, { "dropping-particle" : "", "family" : "Ishitsuka", "given" : "Kenji", "non-dropping-particle" : "", "parse-names" : false, "suffix" : "" }, { "dropping-particle" : "", "family" : "Fukushima", "given" : "Takuya", "non-dropping-particle" : "", "parse-names" : false, "suffix" : "" }, { "dropping-particle" : "", "family" : "Uchimaru", "given" : "Kaoru", "non-dropping-particle" : "", "parse-names" : false, "suffix" : "" }, { "dropping-particle" : "", "family" : "Takaori-Kondo", "given" : "Akifumi", "non-dropping-particle" : "", "parse-names" : false, "suffix" : "" }, { "dropping-particle" : "", "family" : "Tokura", "given" : "Yoshiki", "non-dropping-particle" : "", "parse-names" : false, "suffix" : "" }, { "dropping-particle" : "", "family" : "Utsunomiya", "given" : "Atae", "non-dropping-particle" : "", "parse-names" : false, "suffix" : "" }, { "dropping-particle" : "", "family" : "Matsuoka", "given" : "Masao", "non-dropping-particle" : "", "parse-names" : false, "suffix" : "" }, { "dropping-particle" : "", "family" : "Tsukasaki", "given" : "Kunihiro", "non-dropping-particle" : "", "parse-names" : false, "suffix" : "" }, { "dropping-particle" : "", "family" : "Watanabe", "given" : "Toshiki", "non-dropping-particle" : "", "parse-names" : false, "suffix" : "" } ], "container-title" : "Journal of Clinical Oncology", "id" : "ITEM-1", "issue" : "8", "issued" : { "date-parts" : [ [ "2019" ] ] }, "page" : "677-687", "title" : "Revised adult T-cell leukemia-lymphoma international consensus meeting report", "type" : "article-journal", "volume" : "37" }, "uris" : [ "http://www.mendeley.com/documents/?uuid=2f5ce83c-7fe0-4671-93b3-f0c7cabd04b6" ] } ], "mendeley" : { "formattedCitation" : "(23)", "plainTextFormattedCitation" : "(23)", "previouslyFormattedCitation" : "(23)" }, "properties" : {  }, "schema" : "https://github.com/citation-style-language/schema/raw/master/csl-citation.json" }</w:instrText>
      </w:r>
      <w:r w:rsidR="00111EA9">
        <w:rPr>
          <w:rFonts w:ascii="Arial" w:hAnsi="Arial" w:cs="Arial"/>
          <w:sz w:val="20"/>
          <w:szCs w:val="20"/>
        </w:rPr>
        <w:fldChar w:fldCharType="separate"/>
      </w:r>
      <w:r w:rsidR="00111EA9" w:rsidRPr="00111EA9">
        <w:rPr>
          <w:rFonts w:ascii="Arial" w:hAnsi="Arial" w:cs="Arial"/>
          <w:noProof/>
          <w:sz w:val="20"/>
          <w:szCs w:val="20"/>
        </w:rPr>
        <w:t>(23)</w:t>
      </w:r>
      <w:r w:rsidR="00111EA9">
        <w:rPr>
          <w:rFonts w:ascii="Arial" w:hAnsi="Arial" w:cs="Arial"/>
          <w:sz w:val="20"/>
          <w:szCs w:val="20"/>
        </w:rPr>
        <w:fldChar w:fldCharType="end"/>
      </w:r>
    </w:p>
    <w:p w14:paraId="5547AC34" w14:textId="77777777" w:rsidR="00D126E6" w:rsidRPr="00D126E6" w:rsidRDefault="00D126E6" w:rsidP="00D126E6">
      <w:pPr>
        <w:jc w:val="both"/>
        <w:rPr>
          <w:rFonts w:ascii="Arial" w:hAnsi="Arial" w:cs="Arial"/>
          <w:sz w:val="20"/>
          <w:szCs w:val="20"/>
        </w:rPr>
      </w:pPr>
    </w:p>
    <w:p w14:paraId="5ABAAEC6" w14:textId="4F082ABA" w:rsidR="00B20301" w:rsidRDefault="00D126E6" w:rsidP="00D126E6">
      <w:pPr>
        <w:jc w:val="both"/>
        <w:rPr>
          <w:rFonts w:ascii="Arial" w:hAnsi="Arial" w:cs="Arial"/>
          <w:sz w:val="20"/>
          <w:szCs w:val="20"/>
        </w:rPr>
      </w:pPr>
      <w:r w:rsidRPr="00D126E6">
        <w:rPr>
          <w:rFonts w:ascii="Arial" w:hAnsi="Arial" w:cs="Arial"/>
          <w:sz w:val="20"/>
          <w:szCs w:val="20"/>
        </w:rPr>
        <w:t xml:space="preserve">Su rápida progresión, así como el </w:t>
      </w:r>
      <w:proofErr w:type="spellStart"/>
      <w:r w:rsidRPr="00D126E6">
        <w:rPr>
          <w:rFonts w:ascii="Arial" w:hAnsi="Arial" w:cs="Arial"/>
          <w:sz w:val="20"/>
          <w:szCs w:val="20"/>
        </w:rPr>
        <w:t>subdiagnóstico</w:t>
      </w:r>
      <w:proofErr w:type="spellEnd"/>
      <w:r w:rsidRPr="00D126E6">
        <w:rPr>
          <w:rFonts w:ascii="Arial" w:hAnsi="Arial" w:cs="Arial"/>
          <w:sz w:val="20"/>
          <w:szCs w:val="20"/>
        </w:rPr>
        <w:t xml:space="preserve">, hacen que una cantidad considerable de pacientes fallezca antes </w:t>
      </w:r>
      <w:r w:rsidR="00B20301">
        <w:rPr>
          <w:rFonts w:ascii="Arial" w:hAnsi="Arial" w:cs="Arial"/>
          <w:sz w:val="20"/>
          <w:szCs w:val="20"/>
        </w:rPr>
        <w:t xml:space="preserve">de llegar al diagnóstico definitivo con el estudio </w:t>
      </w:r>
      <w:proofErr w:type="spellStart"/>
      <w:r w:rsidR="00B20301">
        <w:rPr>
          <w:rFonts w:ascii="Arial" w:hAnsi="Arial" w:cs="Arial"/>
          <w:sz w:val="20"/>
          <w:szCs w:val="20"/>
        </w:rPr>
        <w:t>anátomo</w:t>
      </w:r>
      <w:proofErr w:type="spellEnd"/>
      <w:r w:rsidR="00B20301">
        <w:rPr>
          <w:rFonts w:ascii="Arial" w:hAnsi="Arial" w:cs="Arial"/>
          <w:sz w:val="20"/>
          <w:szCs w:val="20"/>
        </w:rPr>
        <w:t>-patológico</w:t>
      </w:r>
      <w:r w:rsidRPr="00D126E6">
        <w:rPr>
          <w:rFonts w:ascii="Arial" w:hAnsi="Arial" w:cs="Arial"/>
          <w:sz w:val="20"/>
          <w:szCs w:val="20"/>
        </w:rPr>
        <w:t xml:space="preserve">. Todo lo anterior, </w:t>
      </w:r>
      <w:r w:rsidR="008F4FA6">
        <w:rPr>
          <w:rFonts w:ascii="Arial" w:hAnsi="Arial" w:cs="Arial"/>
          <w:sz w:val="20"/>
          <w:szCs w:val="20"/>
        </w:rPr>
        <w:t>sumado a la falla terapéu</w:t>
      </w:r>
      <w:r w:rsidR="00B20301">
        <w:rPr>
          <w:rFonts w:ascii="Arial" w:hAnsi="Arial" w:cs="Arial"/>
          <w:sz w:val="20"/>
          <w:szCs w:val="20"/>
        </w:rPr>
        <w:t xml:space="preserve">tica, </w:t>
      </w:r>
      <w:r w:rsidRPr="00D126E6">
        <w:rPr>
          <w:rFonts w:ascii="Arial" w:hAnsi="Arial" w:cs="Arial"/>
          <w:sz w:val="20"/>
          <w:szCs w:val="20"/>
        </w:rPr>
        <w:t xml:space="preserve">conduce a altas tasas de </w:t>
      </w:r>
      <w:proofErr w:type="gramStart"/>
      <w:r w:rsidRPr="00D126E6">
        <w:rPr>
          <w:rFonts w:ascii="Arial" w:hAnsi="Arial" w:cs="Arial"/>
          <w:sz w:val="20"/>
          <w:szCs w:val="20"/>
        </w:rPr>
        <w:t>mortalidad</w:t>
      </w:r>
      <w:r w:rsidR="00B20301">
        <w:rPr>
          <w:rFonts w:ascii="Arial" w:hAnsi="Arial" w:cs="Arial"/>
          <w:sz w:val="20"/>
          <w:szCs w:val="20"/>
        </w:rPr>
        <w:t>.</w:t>
      </w:r>
      <w:r w:rsidRPr="00D126E6">
        <w:rPr>
          <w:rFonts w:ascii="Arial" w:hAnsi="Arial" w:cs="Arial"/>
          <w:sz w:val="20"/>
          <w:szCs w:val="20"/>
        </w:rPr>
        <w:t>(</w:t>
      </w:r>
      <w:proofErr w:type="gramEnd"/>
      <w:r w:rsidRPr="00D126E6">
        <w:rPr>
          <w:rFonts w:ascii="Arial" w:hAnsi="Arial" w:cs="Arial"/>
          <w:sz w:val="20"/>
          <w:szCs w:val="20"/>
        </w:rPr>
        <w:t xml:space="preserve">10,18) </w:t>
      </w:r>
    </w:p>
    <w:p w14:paraId="2F00B116" w14:textId="77777777" w:rsidR="00B20301" w:rsidRDefault="00B20301" w:rsidP="00D126E6">
      <w:pPr>
        <w:jc w:val="both"/>
        <w:rPr>
          <w:rFonts w:ascii="Arial" w:hAnsi="Arial" w:cs="Arial"/>
          <w:sz w:val="20"/>
          <w:szCs w:val="20"/>
        </w:rPr>
      </w:pPr>
    </w:p>
    <w:p w14:paraId="551F8C57" w14:textId="7969F39C" w:rsidR="00D126E6" w:rsidRPr="00D126E6" w:rsidRDefault="00B20301" w:rsidP="00C023DC">
      <w:pPr>
        <w:jc w:val="both"/>
        <w:rPr>
          <w:sz w:val="20"/>
          <w:szCs w:val="20"/>
        </w:rPr>
      </w:pPr>
      <w:r>
        <w:rPr>
          <w:rFonts w:ascii="Arial" w:hAnsi="Arial" w:cs="Arial"/>
          <w:sz w:val="20"/>
          <w:szCs w:val="20"/>
        </w:rPr>
        <w:t xml:space="preserve">Latinoamérica constituye una de las más grandes áreas </w:t>
      </w:r>
      <w:r w:rsidR="00D126E6" w:rsidRPr="00D126E6">
        <w:rPr>
          <w:rFonts w:ascii="Arial" w:hAnsi="Arial" w:cs="Arial"/>
          <w:sz w:val="20"/>
          <w:szCs w:val="20"/>
        </w:rPr>
        <w:t xml:space="preserve">endémicas para el virus, </w:t>
      </w:r>
      <w:r w:rsidR="008F4FA6">
        <w:rPr>
          <w:rFonts w:ascii="Arial" w:hAnsi="Arial" w:cs="Arial"/>
          <w:sz w:val="20"/>
          <w:szCs w:val="20"/>
        </w:rPr>
        <w:t xml:space="preserve">pero su caracterización y reporte es limitada, basándose su detección y tratamiento por guías </w:t>
      </w:r>
      <w:r w:rsidR="002B7568">
        <w:rPr>
          <w:rFonts w:ascii="Arial" w:hAnsi="Arial" w:cs="Arial"/>
          <w:sz w:val="20"/>
          <w:szCs w:val="20"/>
        </w:rPr>
        <w:t>asiático</w:t>
      </w:r>
      <w:r w:rsidR="008F4FA6">
        <w:rPr>
          <w:rFonts w:ascii="Arial" w:hAnsi="Arial" w:cs="Arial"/>
          <w:sz w:val="20"/>
          <w:szCs w:val="20"/>
        </w:rPr>
        <w:t xml:space="preserve"> </w:t>
      </w:r>
      <w:r w:rsidR="002B7568">
        <w:rPr>
          <w:rFonts w:ascii="Arial" w:hAnsi="Arial" w:cs="Arial"/>
          <w:sz w:val="20"/>
          <w:szCs w:val="20"/>
        </w:rPr>
        <w:t>europeas</w:t>
      </w:r>
      <w:r w:rsidR="008F4FA6">
        <w:rPr>
          <w:rFonts w:ascii="Arial" w:hAnsi="Arial" w:cs="Arial"/>
          <w:sz w:val="20"/>
          <w:szCs w:val="20"/>
        </w:rPr>
        <w:t>.</w:t>
      </w:r>
      <w:r>
        <w:rPr>
          <w:rFonts w:ascii="Arial" w:hAnsi="Arial" w:cs="Arial"/>
          <w:sz w:val="20"/>
          <w:szCs w:val="20"/>
        </w:rPr>
        <w:t xml:space="preserve"> </w:t>
      </w:r>
      <w:r w:rsidR="002B7568">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"10.1200/JCO.18.00501", "ISSN" : "15277755", "PMID" : "30657736", "abstract" : "PURPOSE Adult T-cell leukemia-lymphoma (ATL) is a distinct mature T-cell malignancy caused by chronic infection with human T-lymphotropic virus type 1 with diverse clinical features and prognosis. ATL remains a challenging disease as a result of its diverse clinical features, multidrug resistance of malignant cells, frequent large tumor burden, hypercalcemia, and/or frequent opportunistic infection. In 2009, we published a consensus report to define prognostic factors, clinical subclassifications, treatment strategies, and response criteria. The 2009 consensus report has become the standard reference for clinical trials in ATL and a guide for clinical management. Since the last consensus there has been progress in the understanding of the molecular pathophysiology of ATL and risk-adapted treatment approaches. METHODS Reflecting these advances, ATL researchers and clinicians joined together at the 18th International Conference on Human Retrovirology\u2014Human T-Lymphotropic Virus and Related Retroviruses\u2014in Tokyo, Japan, March, 2017, to review evidence for current clinical practice and to update the consensus with a new focus on the subtype classification of cutaneous ATL, CNS lesions in aggressive ATL, management of elderly or transplantation-ineligible patients, and treatment strategies that incorporate up-front allogeneic hematopoietic stem-cell transplantation and novel agents. RESULTS As a result of lower-quality clinical evidence, a best practice approach was adopted and consensus statements agreed on by coauthors (. 90% agreement). CONCLUSION This expert consensus highlights the need for additional clinical trials to develop novel standard therapies for the treatment of ATL", "author" : [ { "dropping-particle" : "", "family" : "Cook", "given" : "Lucy B.", "non-dropping-particle" : "", "parse-names" : false, "suffix" : "" }, { "dropping-particle" : "", "family" : "Fuji", "given" : "Shigeo",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"Ramos", "given" : "Juan Carlos", "non-dropping-particle" : "", "parse-names" : false, "suffix" : "" }, { "dropping-particle" : "", "family" : "Ratner", "given" : "Lee", "non-dropping-particle" : "", "parse-names" : false, "suffix" : "" }, { "dropping-particle" : "", "family" : "Horwitz", "given" : "Steve", "non-dropping-particle" : "", "parse-names" : false, "suffix" : "" }, { "dropping-particle" : "", "family" : "Fields", "given" : "Paul", "non-dropping-particle" : "", "parse-names" : false, "suffix" : "" }, { "dropping-particle" : "", "family" : "Tanase", "given" : "Alina", "non-dropping-particle" : "", "parse-names" : false, "suffix" : "" }, { "dropping-particle" : "", "family" : "Bumbea", "given" : "Horia", "non-dropping-particle" : "", "parse-names" : false, "suffix" : "" }, { "dropping-particle" : "", "family" : "Cwynarski", "given" : "Kate", "non-dropping-particle" : "", "parse-names" : false, "suffix" : "" }, { "dropping-particle" : "", "family" : "Taylor", "given" : "Graham", "non-dropping-particle" : "", "parse-names" : false, "suffix" : "" }, { "dropping-particle" : "", "family" : "Waldmann", "given" : "Thomas A.", "non-dropping-particle" : "", "parse-names" : false, "suffix" : "" }, { "dropping-particle" : "", "family" : "Bittencourt", "given" : "Achilea", "non-dropping-particle" : "", "parse-names" : false, "suffix" : "" }, { "dropping-particle" : "", "family" : "Marcais", "given" : "Ambroise", "non-dropping-particle" : "", "parse-names" : false, "suffix" : "" }, { "dropping-particle" : "", "family" : "Suarez", "given" : "Felipe", "non-dropping-particle" : "", "parse-names" : false, "suffix" : "" }, { "dropping-particle" : "", "family" : "Sibon", "given" : "David", "non-dropping-particle" : "", "parse-names" : false, "suffix" : "" }, { "dropping-particle" : "", "family" : "Phillips", "given" : "Adrienne", "non-dropping-particle" : "", "parse-names" : false, "suffix" : "" }, { "dropping-particle" : "", "family" : "Lunning", "given" : "Matthew", "non-dropping-particle" : "", "parse-names" : false, "suffix" : "" }, { "dropping-particle" : "", "family" : "Farid", "given" : "Reza", "non-dropping-particle" : "", "parse-names" : false, "suffix" : "" }, { "dropping-particle" : "", "family" : "Imaizumi", "given" : "Yoshitaka", "non-dropping-particle" : "", "parse-names" : false, "suffix" : "" }, { "dropping-particle" : "", "family" : "Choi", "given" : "Ilseung", "non-dropping-particle" : "", "parse-names" : false, "suffix" : "" }, { "dropping-particle" : "", "family" : "Ishida", "given" : "Takashi", "non-dropping-particle" : "", "parse-names" : false, "suffix" : "" }, { "dropping-particle" : "", "family" : "Ishitsuka", "given" : "Kenji", "non-dropping-particle" : "", "parse-names" : false, "suffix" : "" }, { "dropping-particle" : "", "family" : "Fukushima", "given" : "Takuya", "non-dropping-particle" : "", "parse-names" : false, "suffix" : "" }, { "dropping-particle" : "", "family" : "Uchimaru", "given" : "Kaoru", "non-dropping-particle" : "", "parse-names" : false, "suffix" : "" }, { "dropping-particle" : "", "family" : "Takaori-Kondo", "given" : "Akifumi", "non-dropping-particle" : "", "parse-names" : false, "suffix" : "" }, { "dropping-particle" : "", "family" : "Tokura", "given" : "Yoshiki", "non-dropping-particle" : "", "parse-names" : false, "suffix" : "" }, { "dropping-particle" : "", "family" : "Utsunomiya", "given" : "Atae", "non-dropping-particle" : "", "parse-names" : false, "suffix" : "" }, { "dropping-particle" : "", "family" : "Matsuoka", "given" : "Masao", "non-dropping-particle" : "", "parse-names" : false, "suffix" : "" }, { "dropping-particle" : "", "family" : "Tsukasaki", "given" : "Kunihiro", "non-dropping-particle" : "", "parse-names" : false, "suffix" : "" }, { "dropping-particle" : "", "family" : "Watanabe", "given" : "Toshiki", "non-dropping-particle" : "", "parse-names" : false, "suffix" : "" } ], "container-title" : "Journal of Clinical Oncology", "id" : "ITEM-1", "issue" : "8", "issued" : { "date-parts" : [ [ "2019" ] ] }, "page" : "677-687", "title" : "Revised adult T-cell leukemia-lymphoma international consensus meeting report", "type" : "article-journal", "volume" : "37" }, "uris" : [ "http://www.mendeley.com/documents/?uuid=2f5ce83c-7fe0-4671-93b3-f0c7cabd04b6" ] } ], "mendeley" : { "formattedCitation" : "(23)", "plainTextFormattedCitation" : "(23)", "previouslyFormattedCitation" : "(23)" }, "properties" : {  }, "schema" : "https://github.com/citation-style-language/schema/raw/master/csl-citation.json" }</w:instrText>
      </w:r>
      <w:r w:rsidR="002B7568">
        <w:rPr>
          <w:rFonts w:ascii="Arial" w:hAnsi="Arial" w:cs="Arial"/>
          <w:sz w:val="20"/>
          <w:szCs w:val="20"/>
        </w:rPr>
        <w:fldChar w:fldCharType="separate"/>
      </w:r>
      <w:r w:rsidR="00111EA9" w:rsidRPr="00111EA9">
        <w:rPr>
          <w:rFonts w:ascii="Arial" w:hAnsi="Arial" w:cs="Arial"/>
          <w:noProof/>
          <w:sz w:val="20"/>
          <w:szCs w:val="20"/>
        </w:rPr>
        <w:t>(23)</w:t>
      </w:r>
      <w:r w:rsidR="002B7568">
        <w:rPr>
          <w:rFonts w:ascii="Arial" w:hAnsi="Arial" w:cs="Arial"/>
          <w:sz w:val="20"/>
          <w:szCs w:val="20"/>
        </w:rPr>
        <w:fldChar w:fldCharType="end"/>
      </w:r>
    </w:p>
    <w:p w14:paraId="058B5D54" w14:textId="77777777" w:rsidR="00D126E6" w:rsidRPr="00D126E6" w:rsidRDefault="00D126E6" w:rsidP="00D50373">
      <w:pPr>
        <w:jc w:val="both"/>
        <w:rPr>
          <w:sz w:val="20"/>
          <w:szCs w:val="20"/>
        </w:rPr>
      </w:pPr>
    </w:p>
    <w:p w14:paraId="57B17FEB" w14:textId="0B85BFEB" w:rsidR="005031A0" w:rsidRPr="005031A0" w:rsidRDefault="001971B4" w:rsidP="005031A0">
      <w:pPr>
        <w:jc w:val="both"/>
        <w:rPr>
          <w:rFonts w:ascii="Arial" w:hAnsi="Arial" w:cs="Arial"/>
          <w:b/>
          <w:sz w:val="20"/>
          <w:szCs w:val="20"/>
        </w:rPr>
      </w:pPr>
      <w:r>
        <w:rPr>
          <w:rFonts w:ascii="Arial" w:hAnsi="Arial" w:cs="Arial"/>
          <w:b/>
          <w:sz w:val="20"/>
          <w:szCs w:val="20"/>
        </w:rPr>
        <w:t>1.3</w:t>
      </w:r>
      <w:r w:rsidR="005031A0" w:rsidRPr="005031A0">
        <w:rPr>
          <w:rFonts w:ascii="Arial" w:hAnsi="Arial" w:cs="Arial"/>
          <w:b/>
          <w:sz w:val="20"/>
          <w:szCs w:val="20"/>
        </w:rPr>
        <w:t xml:space="preserve"> JUSTIFICACIÓN</w:t>
      </w:r>
    </w:p>
    <w:p w14:paraId="4F852FF0" w14:textId="77777777" w:rsidR="005031A0" w:rsidRPr="005031A0" w:rsidRDefault="005031A0" w:rsidP="005031A0">
      <w:pPr>
        <w:pStyle w:val="Prrafodelista"/>
        <w:jc w:val="both"/>
        <w:rPr>
          <w:rFonts w:ascii="Arial" w:hAnsi="Arial" w:cs="Arial"/>
          <w:b/>
          <w:sz w:val="20"/>
          <w:szCs w:val="20"/>
        </w:rPr>
      </w:pPr>
    </w:p>
    <w:p w14:paraId="438CF4A9" w14:textId="3314FD08" w:rsidR="005031A0" w:rsidRPr="005031A0" w:rsidRDefault="00C023DC" w:rsidP="005031A0">
      <w:pPr>
        <w:jc w:val="both"/>
        <w:rPr>
          <w:rFonts w:ascii="Arial" w:hAnsi="Arial" w:cs="Arial"/>
          <w:sz w:val="20"/>
          <w:szCs w:val="20"/>
        </w:rPr>
      </w:pPr>
      <w:r>
        <w:rPr>
          <w:rFonts w:ascii="Arial" w:hAnsi="Arial" w:cs="Arial"/>
          <w:sz w:val="20"/>
          <w:szCs w:val="20"/>
        </w:rPr>
        <w:t>Se estima que el virus HTLV-1</w:t>
      </w:r>
      <w:r w:rsidR="005031A0" w:rsidRPr="005031A0">
        <w:rPr>
          <w:rFonts w:ascii="Arial" w:hAnsi="Arial" w:cs="Arial"/>
          <w:sz w:val="20"/>
          <w:szCs w:val="20"/>
        </w:rPr>
        <w:t xml:space="preserve"> afecta entre 5 y 10 millones de personas </w:t>
      </w:r>
      <w:r>
        <w:rPr>
          <w:rFonts w:ascii="Arial" w:hAnsi="Arial" w:cs="Arial"/>
          <w:sz w:val="20"/>
          <w:szCs w:val="20"/>
        </w:rPr>
        <w:t>a nivel</w:t>
      </w:r>
      <w:r w:rsidR="003C6F05">
        <w:rPr>
          <w:rFonts w:ascii="Arial" w:hAnsi="Arial" w:cs="Arial"/>
          <w:sz w:val="20"/>
          <w:szCs w:val="20"/>
        </w:rPr>
        <w:t xml:space="preserve"> Mundial</w:t>
      </w:r>
      <w:r>
        <w:rPr>
          <w:rFonts w:ascii="Arial" w:hAnsi="Arial" w:cs="Arial"/>
          <w:sz w:val="20"/>
          <w:szCs w:val="20"/>
        </w:rPr>
        <w:t>, de los cuales entre el 3</w:t>
      </w:r>
      <w:r w:rsidR="005031A0" w:rsidRPr="005031A0">
        <w:rPr>
          <w:rFonts w:ascii="Arial" w:hAnsi="Arial" w:cs="Arial"/>
          <w:sz w:val="20"/>
          <w:szCs w:val="20"/>
        </w:rPr>
        <w:t>-5% desarrollarán</w:t>
      </w:r>
      <w:r w:rsidR="005F4A53">
        <w:rPr>
          <w:rFonts w:ascii="Arial" w:hAnsi="Arial" w:cs="Arial"/>
          <w:sz w:val="20"/>
          <w:szCs w:val="20"/>
        </w:rPr>
        <w:t xml:space="preserve"> ATLL</w:t>
      </w:r>
      <w:r w:rsidR="005031A0" w:rsidRPr="005031A0">
        <w:rPr>
          <w:rFonts w:ascii="Arial" w:hAnsi="Arial" w:cs="Arial"/>
          <w:sz w:val="20"/>
          <w:szCs w:val="20"/>
        </w:rPr>
        <w:t>.</w:t>
      </w:r>
      <w:r w:rsidR="002B7568">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"10.3389/fmicb.2012.00388", "ISSN" : "1664302X", "abstract" : "The human T-cell leukemia virus type 1 (HTLV-1), identified as the first human oncogenic retrovirus 30 years ago, is not an ubiquitous virus. HTLV-1 is present throughout the world, with clusters of high endemicity located often nearby areas where the virus is nearly absent. The main HTLV-1 highly endemic regions are the Southwestern part of Japan, sub-Saharan Africa and South America, the Caribbean area, and foci in Middle East and Australo-Melanesia. The origin of this puzzling geographical or rather ethnic repartition is probably linked to a founder effect in some groups with the persistence of a high viral transmission rate. Despite different socio-economic and cultural environments, the HTLV-1 prevalence increases gradually with age, especially among women in all highly endemic areas. The three modes of HTLV-1 transmission are mother to child, sexual transmission, and transmission with contaminated blood products. Twenty years ago, deTh\u00e9 and Bom-ford estimated the total number of HTLV-1 carriers to be 10-20 millions people. At that time, large regions had not been investigated, few population-based studies were available and the assays used for HTLV-1 serology were not enough specific. Despite the fact that there is still a lot of data lacking in large areas of the world and that most of the HTLV-1 studies concern only blood donors, pregnant women, or different selected patients or high-risk groups, we shall try based on the most recent data, to revisit the world distribution and the estimates of the number of HTLV-1 infected persons. Our best estimates range from 5-10 millions HTLV-1 infected individuals. However, these results were based on only approximately 1.5 billion of individuals originating from known HTLV-1 endemic areas with reliable available epidemiological data. Correct estimates in other highly populated regions, such as China, India, the Maghreb, and East Africa, is currently not possible, thus, the current number of HTLV-1 carriers is very probably much higher. \u00a9 2012 Gessain and Cassar.", "author" : [ { "dropping-particle" : "", "family" : "Gessain", "given" : "Antoine", "non-dropping-particle" : "", "parse-names" : false, "suffix" : "" }, { "dropping-particle" : "", "family" : "Cassar", "given" : "Olivier", "non-dropping-particle" : "", "parse-names" : false, "suffix" : "" } ], "container-title" : "Frontiers in Microbiology", "id" : "ITEM-1", "issue" : "NOV", "issued" : { "date-parts" : [ [ "2012" ] ] }, "title" : "Epidemiological aspects and world distribution of HTLV-1 infection", "type" : "article", "volume" : "3" }, "uris" : [ "http://www.mendeley.com/documents/?uuid=1e0fc639-69aa-47e3-aaa3-33e7d8a785bf" ] } ], "mendeley" : { "formattedCitation" : "(24)", "plainTextFormattedCitation" : "(24)", "previouslyFormattedCitation" : "(24)" }, "properties" : {  }, "schema" : "https://github.com/citation-style-language/schema/raw/master/csl-citation.json" }</w:instrText>
      </w:r>
      <w:r w:rsidR="002B7568">
        <w:rPr>
          <w:rFonts w:ascii="Arial" w:hAnsi="Arial" w:cs="Arial"/>
          <w:sz w:val="20"/>
          <w:szCs w:val="20"/>
        </w:rPr>
        <w:fldChar w:fldCharType="separate"/>
      </w:r>
      <w:r w:rsidR="00111EA9" w:rsidRPr="00111EA9">
        <w:rPr>
          <w:rFonts w:ascii="Arial" w:hAnsi="Arial" w:cs="Arial"/>
          <w:noProof/>
          <w:sz w:val="20"/>
          <w:szCs w:val="20"/>
        </w:rPr>
        <w:t>(24)</w:t>
      </w:r>
      <w:r w:rsidR="002B7568">
        <w:rPr>
          <w:rFonts w:ascii="Arial" w:hAnsi="Arial" w:cs="Arial"/>
          <w:sz w:val="20"/>
          <w:szCs w:val="20"/>
        </w:rPr>
        <w:fldChar w:fldCharType="end"/>
      </w:r>
    </w:p>
    <w:p w14:paraId="4BFFD63B" w14:textId="77777777" w:rsidR="00945A44" w:rsidRDefault="00945A44" w:rsidP="005031A0">
      <w:pPr>
        <w:jc w:val="both"/>
        <w:rPr>
          <w:rFonts w:ascii="Arial" w:hAnsi="Arial" w:cs="Arial"/>
          <w:sz w:val="20"/>
          <w:szCs w:val="20"/>
        </w:rPr>
      </w:pPr>
    </w:p>
    <w:p w14:paraId="49159519" w14:textId="33E55FF2" w:rsidR="005031A0" w:rsidRDefault="003C6F05" w:rsidP="005031A0">
      <w:pPr>
        <w:jc w:val="both"/>
        <w:rPr>
          <w:rFonts w:ascii="Arial" w:hAnsi="Arial" w:cs="Arial"/>
          <w:sz w:val="20"/>
          <w:szCs w:val="20"/>
        </w:rPr>
      </w:pPr>
      <w:r>
        <w:rPr>
          <w:rFonts w:ascii="Arial" w:hAnsi="Arial" w:cs="Arial"/>
          <w:sz w:val="20"/>
          <w:szCs w:val="20"/>
        </w:rPr>
        <w:t xml:space="preserve">Los estudios en </w:t>
      </w:r>
      <w:r w:rsidR="00CA77C5">
        <w:rPr>
          <w:rFonts w:ascii="Arial" w:hAnsi="Arial" w:cs="Arial"/>
          <w:sz w:val="20"/>
          <w:szCs w:val="20"/>
        </w:rPr>
        <w:t>ATLL</w:t>
      </w:r>
      <w:r w:rsidR="002B7568">
        <w:rPr>
          <w:rFonts w:ascii="Arial" w:hAnsi="Arial" w:cs="Arial"/>
          <w:sz w:val="20"/>
          <w:szCs w:val="20"/>
        </w:rPr>
        <w:t xml:space="preserve"> en Latinoamérica</w:t>
      </w:r>
      <w:r w:rsidR="00CA77C5">
        <w:rPr>
          <w:rFonts w:ascii="Arial" w:hAnsi="Arial" w:cs="Arial"/>
          <w:sz w:val="20"/>
          <w:szCs w:val="20"/>
        </w:rPr>
        <w:t xml:space="preserve"> </w:t>
      </w:r>
      <w:r>
        <w:rPr>
          <w:rFonts w:ascii="Arial" w:hAnsi="Arial" w:cs="Arial"/>
          <w:sz w:val="20"/>
          <w:szCs w:val="20"/>
        </w:rPr>
        <w:t>son</w:t>
      </w:r>
      <w:r w:rsidR="00CA77C5">
        <w:rPr>
          <w:rFonts w:ascii="Arial" w:hAnsi="Arial" w:cs="Arial"/>
          <w:sz w:val="20"/>
          <w:szCs w:val="20"/>
        </w:rPr>
        <w:t xml:space="preserve"> limitado</w:t>
      </w:r>
      <w:r w:rsidR="002B7568">
        <w:rPr>
          <w:rFonts w:ascii="Arial" w:hAnsi="Arial" w:cs="Arial"/>
          <w:sz w:val="20"/>
          <w:szCs w:val="20"/>
        </w:rPr>
        <w:t>s</w:t>
      </w:r>
      <w:r w:rsidR="00CA77C5">
        <w:rPr>
          <w:rFonts w:ascii="Arial" w:hAnsi="Arial" w:cs="Arial"/>
          <w:sz w:val="20"/>
          <w:szCs w:val="20"/>
        </w:rPr>
        <w:t xml:space="preserve"> y heterogéneo</w:t>
      </w:r>
      <w:r>
        <w:rPr>
          <w:rFonts w:ascii="Arial" w:hAnsi="Arial" w:cs="Arial"/>
          <w:sz w:val="20"/>
          <w:szCs w:val="20"/>
        </w:rPr>
        <w:t>s</w:t>
      </w:r>
      <w:r w:rsidR="00CA77C5">
        <w:rPr>
          <w:rFonts w:ascii="Arial" w:hAnsi="Arial" w:cs="Arial"/>
          <w:sz w:val="20"/>
          <w:szCs w:val="20"/>
        </w:rPr>
        <w:t>, teniendo un mayor número de estudios y</w:t>
      </w:r>
      <w:r w:rsidR="00447632">
        <w:rPr>
          <w:rFonts w:ascii="Arial" w:hAnsi="Arial" w:cs="Arial"/>
          <w:sz w:val="20"/>
          <w:szCs w:val="20"/>
        </w:rPr>
        <w:t xml:space="preserve"> publicaciones Brasil, seguido de </w:t>
      </w:r>
      <w:r>
        <w:rPr>
          <w:rFonts w:ascii="Arial" w:hAnsi="Arial" w:cs="Arial"/>
          <w:sz w:val="20"/>
          <w:szCs w:val="20"/>
        </w:rPr>
        <w:t>Chile, Perú y el Caribe.</w:t>
      </w:r>
      <w:r w:rsidR="002B7568">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"10.1016/j.leukres.2010.08.006", "ISSN" : "01452126", "abstract" : "Introduction: Adult T-cell leukemia/lymphoma (ATLL) is a clinically aggressive and heterogeneous entity; hence it is likely that different variants of ATLL have different prognostic factors. Methods: 95 patients with ATLL seen at our institution between 1987 and 2008 were included. Clinical data were compared, according to ATLL variant, using the Mann-Whitney and the Chi-square tests for continuous and categorical variables, respectively. Kaplan-Meier estimates compared using the log-rank test and Cox proportional-hazard test were used for the univariate and multivariate analysis, respectively. Results: Median age was 61 years with male-to-female ratio of 1.07:1. Patients with acute ATLL were more likely to present with bone marrow, liver and spleen involvement, higher \u03b22-microglobulin and lower albumin levels. Poor performance status, high IPI score, presence of B symptoms, high LDH and low albumin levels were associated with a worse survival in lymphomatous ATLL. High LDH, high \u03b22-microglobulin and high PIT score were associated with worse survival in acute ATLL. In the multivariate analysis, low albumin level and presence of B symptoms were independent factors for worse survival in lymphomatous ATLL, and high \u03b22-microglobulin level was independent factor for worse survival in acute ATLL. Conclusions: Aggressive ATLL variants have a distinct, almost mutually exclusive profile of prognostic factors. \u00a9 2010 Elsevier Ltd.", "author" : [ { "dropping-particle" : "", "family" : "Beltran", "given" : "Brady", "non-dropping-particle" : "", "parse-names" : false, "suffix" : "" }, { "dropping-particle" : "", "family" : "Qui\u00f1ones", "given" : "Pilar", "non-dropping-particle" : "", "parse-names" : false, "suffix" : "" }, { "dropping-particle" : "", "family" : "Morales", "given" : "Domingo", "non-dropping-particle" : "", "parse-names" : false, "suffix" : "" }, { "dropping-particle" : "", "family" : "Cotrina", "given" : "Esther", "non-dropping-particle" : "", "parse-names" : false, "suffix" : "" }, { "dropping-particle" : "", "family" : "Castillo", "given" : "Jorge J.", "non-dropping-particle" : "", "parse-names" : false, "suffix" : "" } ], "container-title" : "Leukemia Research", "id" : "ITEM-1", "issue" : "3", "issued" : { "date-parts" : [ [ "2011" ] ] }, "page" : "334-339", "title" : "Different prognostic factors for survival in acute and lymphomatous adult T-cell leukemia/lymphoma", "type" : "article-journal", "volume" : "35" }, "uris" : [ "http://www.mendeley.com/documents/?uuid=5e357028-2bdf-4c9a-a2ec-4559bfd243e6" ] }, { "id" : "ITEM-2", "itemData" : { "ISSN" : "1527-7755", "abstract" : "Background: Adult T-cell leukemia/lymphoma (ATLL) is associated with human T-cell lymphotropic virus type-I (HTLV-1) described in Southern Japan, Europe, Caribbean and South America. Risk-stratification tools for ATLL have not been adequately evaluated. This study attempts to define prognostic factors for patients with ATLL. Methods: A total of 102 cases from our Institution were collected between January 1997 and September 2008. Diagnosis was based on clinical history and histological findings consistent with ATLL and either positive HTLV-1 serology or evidence of HTLV-1 integration. Survival curves were estimated using the Kaplan-Meier method. Univariate and multivariate analyses were evaluated using log-rank and Cox regression tests, respectively. Results: Median age was 61 years with a female:male ratio of 1.15:1. Clinical types were acute (n=45), lymphomatous (n=43), cutaneous (n=10), smoldering (n=3) and chronic (n=1). Median OS for acute, lymphomatous, smoldering and cutaneous subtype were 2, 11, 17 and 39 months, respectively (log-rank 28.5, p&lt;0.00001). In the univariate analysis, presence of B symptoms, ECOG performance status 2, clinical stage II or higher, elevated LDH level and bone marrow (BM) involvement were independent factors for survival with p&lt;0.05. The IPI score was available in 92 patients; 13 (14%), 12 (13%), 29 (32%) and 38 (41%) patients were low, low-intermediate, high-intermediate and high-risk, respectively. Median OS by IPI risk group was 40, 13, 6 and 2 months, respectively (P&lt;0.005). The prognostic index for T-cell lymphoma (PIT) score was determined in 80 patients; 20 (25%), 17 (21%), 33 (41%) and 10 (13%) patients had scores of 0-1, 2, 3 and 4, respectively. Median OS by PIT risk group was 19, 5, 3 and 2 months, respectively (P&lt;0.005). In multivariate analysis, BM involvement and elevated LDH were significant for survival. Conclusions: This retrospective series represents the largest Latin-American experience on ATLL, which is a heterogeneous disease with distinct clinical features and outcomes. The IPI ant PIT scores, used for risk-stratification of aggressive B-cell and peripheral T-cell lymphomas, respectively, appear as good prognostic indicators for ATLL as well. Further research is needed to better risk-stratify this unique lymphoma.", "author" : [ { "dropping-particle" : "", "family" : "Beltran", "given" : "B E", "non-dropping-particle" : "", "parse-names" : false, "suffix" : "" }, { "dropping-particle" : "", "family" : "Morales", "given" : "D", "non-dropping-particle" : "", "parse-names" : false, "suffix" : "" }, { "dropping-particle" : "", "family" : "Qui\u00f1ones", "given" : "P", "non-dropping-particle" : "", "parse-names" : false, "suffix" : "" }, { "dropping-particle" : "", "family" : "Salas", "given" : "R", "non-dropping-particle" : "", "parse-names" : false, "suffix" : "" }, { "dropping-particle" : "", "family" : "Castillo", "given" : "J", "non-dropping-particle" : "", "parse-names" : false, "suffix" : "" } ], "container-title" : "Journal of clinical oncology : official journal of the American Society of Clinical Oncology", "id" : "ITEM-2", "issue" : "15_suppl", "issued" : { "date-parts" : [ [ "2009" ] ] }, "page" : "8575", "title" : "Analysis of prognostic factors in patients with adult T-cell leukemia/lymphoma.", "type" : "article-journal", "volume" : "27" }, "uris" : [ "http://www.mendeley.com/documents/?uuid=575fb74d-c21d-4ce6-9d35-8012590c33c4" ] }, { "id" : "ITEM-3", "itemData" : { "DOI" : "10.1309/AJCPL52QGQPZWFHE", "ISSN" : "00029173", "abstract" : "Objectives: To evaluate the frequency of the different types of cutaneous lymphoma (CL) in 1 university hospital in Brazil and compare this frequency with those observed in other countries. Methods: After review, 72 (84.7%) cases of primary cutaneous T-cell lymphoma (CTCL) and 13 (15.3%) cases of primary cutaneous B-cell lymphoma (CBCL) were included. Results: Of the CTCLs, 40.3% were mycosis fungoides (MF); 26.4% were adult T-cell leukemias/lymphomas (ATLs); 23.6% were peripheral T-cell lymphomas, unspecified; and 8.3% were anaplastic large cell lymphomas. Of the MF cases, 17.2% progressed to transformed MF. Five-year survival for primary human T-cell lymphotropic virus type 1-negative CTCL, ATL, and CBCL was 64.0%, 42.1%, and 62.5%, respectively. MF and ATL were the most frequent primary CTCLs. Conclusions: The frequencies observed here are close to those observed in Peru but different from those of European countries. Unfortunately, the World Health Organization/ European Organization of Research and Treatment of Cancer classification does not include primary cutaneous ATL. \u00a9 American Society for Clinical Pathology.", "author" : [ { "dropping-particle" : "", "family" : "Bittencourt", "given" : "Achil\u00e9a L.", "non-dropping-particle" : "", "parse-names" : false, "suffix" : "" }, { "dropping-particle" : "", "family" : "Oliveira", "given" : "Pedro D.", "non-dropping-particle" : "", "parse-names" : false, "suffix" : "" }, { "dropping-particle" : "", "family" : "Andrade", "given" : "Agnes C.", "non-dropping-particle" : "", "parse-names" : false, "suffix" : "" }, { "dropping-particle" : "", "family" : "Santos", "given" : "Tamara C.", "non-dropping-particle" : "", "parse-names" : false, "suffix" : "" }, { "dropping-particle" : "", "family" : "Oliveira", "given" : "Rodrigo F.", "non-dropping-particle" : "", "parse-names" : false, "suffix" : "" }, { "dropping-particle" : "", "family" : "Farr\u00e9", "given" : "Lourdes", "non-dropping-particle" : "", "parse-names" : false, "suffix" : "" }, { "dropping-particle" : "", "family" : "Araujo", "given" : "Iguaracyra", "non-dropping-particle" : "", "parse-names" : false, "suffix" : "" } ], "container-title" : "American Journal of Clinical Pathology", "id" : "ITEM-3", "issue" : "3", "issued" : { "date-parts" : [ [ "2013" ] ] }, "page" : "348-354", "title" : "Analysis of cutaneous lymphomas in a medical center in Bahia, Brazil", "type" : "article", "volume" : "140" }, "uris" : [ "http://www.mendeley.com/documents/?uuid=ee9c9ae1-d4f5-4733-9f83-b967e45eceb3" ] }, { "id" : "ITEM-4", "itemData" : { "DOI" : "10.1016/j.bjhh.2016.09.012", "ISSN" : "18060870", "abstract" : "Background Adult T-cell leukemia/lymphoma is a peripheral disease associated with human T-cell lymphotropic virus type 1. Treatment is carried out according to clinical type with watchful waiting being recommended for less aggressive types. Aggressive adult T-cell leukemia/lymphoma is generally treated with chemotherapy and/or antivirals. The objective of this study was to correlate the survival of patients diagnosed in Bahia, Brazil, with the therapeutic approaches employed and to evaluate what issues existed in their treatment processes. Methods Eighty-three adult T-cell leukemia/lymphoma patients (26 smoldering, 23 chronic, 16 acute, 13 lymphoma and five primary cutaneous tumoral) with available data were included in this study. Results Complete response was achieved in seven smoldering patients with symptomatic treatment, in two with chronic disease using antivirals/chemotherapy, in one with acute disease using antivirals and in one lymphoma using the LSG15 regimen [vincristine, cyclophosphamide, doxorubicin, and prednisolone (VCAP); doxorubicin, ranimustine, and prednisolone (AMP); and vindesine, etoposide, carboplatin, and prednisolone (VECP)]. Smoldering patients who received symptomatic treatment presented longer survival. Favorable chronic patients treated with antivirals presented longer survival compared to the unfavorable subtype. However, for the acute form, first-line chemotherapy was better, albeit without significance, than antivirals. Only one of the patients with lymphoma and primary cutaneous tumors responded. Conclusions Watchful waiting associated with phototherapy represents the best option for smoldering adult T-cell leukemia/lymphoma with survival in Bahia being superior to that described in Japan. There was a trend of better results with zidovudine/interferon-alpha in favorable chronic disease. Excellent results were achieved in the lymphoma type treated with the LSG15 protocol. Patients are diagnosed late probably due to lack of knowledge of adult T-cell leukemia/lymphoma by primary healthcare doctors and a Brazilian treatment protocol needs to be established.", "author" : [ { "dropping-particle" : "", "family" : "Oliveira", "given" : "Pedro Dantas", "non-dropping-particle" : "", "parse-names" : false, "suffix" : "" }, { "dropping-particle" : "", "family" : "Gomes", "given" : "\u00cdtala", "non-dropping-particle" : "", "parse-names" : false, "suffix" : "" }, { "dropping-particle" : "", "family" : "Souza", "given" : "Victor Hugo Gomes", "non-dropping-particle" : "", "parse-names" : false, "suffix" : "" }, { "dropping-particle" : "", "family" : "Pires", "given" : "Ernesto Cunha", "non-dropping-particle" : "", "parse-names" : false, "suffix" : "" }, { "dropping-particle" : "", "family" : "Arruda", "given" : "Gl\u00f3ria Bomfim", "non-dropping-particle" : "", "parse-names" : false, "suffix" : "" }, { "dropping-particle" : "", "family" : "Bittencourt", "given" : "Achil\u00e9a", "non-dropping-particle" : "", "parse-names" : false, "suffix" : "" } ], "container-title" : "Revista Brasileira de Hematologia e Hemoterapia", "id" : "ITEM-4", "issue" : "1", "issued" : { "date-parts" : [ [ "2017" ] ] }, "page" : "13-19", "title" : "Adult T-cell leukemia/lymphoma treatment in Bahia, Brazil", "type" : "article-journal", "volume" : "39" }, "uris" : [ "http://www.mendeley.com/documents/?uuid=f6360753-e8f6-4ab5-81d6-033736e3582c" ] }, { "id" : "ITEM-5", "itemData" : { "DOI" : "10.1177/0956462416684461", "ISSN" : "17581052", "abstract" : "Adult T-cell leukemia/lymphoma (ATL) is caused by the human T-cell lymphotropic virus type 1 (HTLV-1) which is endemic in countries of Caribbean and Central and South America. We performed a systematic search and review to identify publications on ATL in these countries to verify if this disease was getting recognition in these regions as well as the characteristics of the observed cases. The median age of 49.4 years was lower than that referred to in Japan. According to our findings in most Brazilian states and in some other countries, ATL is not being recognized and should be strongly considered in the differential diagnosis of T-cell leukemias/lymphomas. Failure to identify these cases may be due to the unsystematic realization of serology for HTLV-1 and phenotypic identification of non-Hodgkin lymphomas that may result from lack of resources. Detection of ATL cases has been more feasible with cooperation from foreign research centers. A huge effort should be made to improve the surveillance system for ATL diagnosis in most of the South- and Central-American and Caribbean countries, and this attitude should be embraced by public organs to support health professionals in this important task.", "author" : [ { "dropping-particle" : "", "family" : "Oliveira", "given" : "Pedro D.", "non-dropping-particle" : "", "parse-names" : false, "suffix" : "" }, { "dropping-particle" : "", "family" : "Carvalho", "given" : "Rebeca F.", "non-dropping-particle" : "de", "parse-names" : false, "suffix" : "" }, { "dropping-particle" : "", "family" : "Bittencourt", "given" : "Achil\u00e9a L.", "non-dropping-particle" : "", "parse-names" : false, "suffix" : "" } ], "container-title" : "International Journal of STD and AIDS", "id" : "ITEM-5", "issue" : "3", "issued" : { "date-parts" : [ [ "2017" ] ] }, "page" : "217-228", "title" : "Adult T-cell leukemia/lymphoma in South and Central America and the Caribbean: systematic search and review", "type" : "article", "volume" : "28" }, "uris" : [ "http://www.mendeley.com/documents/?uuid=6b3ecdf8-8364-40fc-ae26-cc47af6947eb" ] }, { "id" : "ITEM-6", "itemData" : { "DOI" : "10.4067/S0034-98871999000800007", "ISSN" : "0034-9887", "abstract" : "Background: Adult T cell leukemia lymphoma is a lymphoproliferative syndrome etiologically associated to human T cell lymphotropic virus type I. Aim: To describe the clinical and laboratory features of 26 Caucasian Chilean patients, with HTLV-I positive adult T-cell leukemia lymphoma (ATLL). Material and methods: Diagnostic criteria included clinical features, cell morphology, immunophenotype, HTLV-I serology and/or DNA analysis by Southern blot or PCR. Results: According to the clinical presentation, 12 cases had the acute ATLL form, 6 had a lymphoma, 4 the chronic form and 4 had smoldering ATLL. The median presentation age was 50 years, younger than the Japanese patients, but significantly older than patients from other South American countries (eg Brasil, Jamaica, Colombia). The main clinical features: lymphadenopathy, skin lesions and hepatosplenomegaly, were similar in frequency to those of patients from other countries, except for the high incidence of associated neurological disease. Tropical Spastic Paraparesis (TSP) in our series of ATLL, was seen in one third of the patients (8/26). A T-cell immunophenotype was shown in all 26 cases and HTLV-I serology was positive in 25/26 patients. Molecular analysis on the seronegative patient showed clonal integration of proviral HTLV-I DNA into the lymphocytes DNA, and thus he may have been a poor responder to the retroviral infection. Proviral DNA integration was also demonstrated in 15/16 patients being clonal in 10, polyclonal in 3 (all smoldering cases) and oligoclonal in one. Conclusions: ATLL in Chile has similar clinical and laboratory features than the disease in other parts of the world, except for a younger age than Japanese patients but older than those from other Latin American countries and a high incidence of patients with associated TSP. Detailed morphological and immunophenotypic analysis of the abnormal circulating lymphocytes, together with the documentation of HTLV-I by serology and/or DNA analysis are key tests for the identification of this disease.", "author" : [ { "dropping-particle" : "", "family" : "Cabrera C", "given" : "M. Elena", "non-dropping-particle" : "", "parse-names" : false, "suffix" : "" }, { "dropping-particle" : "", "family" : "Labra G", "given" : "Silvia", "non-dropping-particle" : "", "parse-names" : false, "suffix" : "" }, { "dropping-particle" : "", "family" : "Meneses C", "given" : "Pedro", "non-dropping-particle" : "", "parse-names" : false, "suffix" : "" }, { "dropping-particle" : "", "family" : "Matutes", "given" : "Estella", "non-dropping-particle" : "", "parse-names" : false, "suffix" : "" }, { "dropping-particle" : "", "family" : "Cartier R", "given" : "Luis", "non-dropping-particle" : "", "parse-names" : false, "suffix" : "" }, { "dropping-particle" : "", "family" : "Ford", "given" : "Anthony M.", "non-dropping-particle" : "", "parse-names" : false, "suffix" : "" }, { "dropping-particle" : "", "family" : "Greaves", "given" : "Melvyn F.", "non-dropping-particle" : "", "parse-names" : false, "suffix" : "" } ], "container-title" : "Revista Medica de Chile", "id" : "ITEM-6", "issue" : "8", "issued" : { "date-parts" : [ [ "1999" ] ] }, "page" : "935-944", "title" : "Adult T cell leukemia lymphoma in Chile. A clinico pathological and molecular study of 26 patients", "type" : "article-journal", "volume" : "127" }, "uris" : [ "http://www.mendeley.com/documents/?uuid=d0732917-d4b9-4587-aa8b-4d5864a5b88a" ] }, { "id" : "ITEM-7", "itemData" : { "DOI" : "10.18632/oncotarget.10223", "ISSN" : "19492553", "abstract" : "Adult T-cell leukemia/lymphoma (ATLL) is a rare and aggressive disease caused by human T-cell lymphotropic virus type 1 that predominantly affects Japanese and Caribbean populations. Most studies have focused on Japanese cohorts. We conducted a retrospective analysis of 53 cases of ATLL who presented to our institution between 2003-2014. ATLL in the Caribbean population presents more often as the acute and lymphomatous subtypes, is associated with complex cytogenetics, and has a high rate of CNS involvement. The overall response rate to first-line therapies with anthracycline-based regimens was poor (32%), with a median survival of only 6.9 months. A complete or partial response to first-line regimens was associated with better survival. There was no difference in survival between patients who received chemotherapy alone versus chemotherapy with antiviral agents. Allogeneic transplantation was performed in five patients, two of whom achieved complete remission despite residual or refractory disease. Recipients of allogeneic transplantation had significantly improved overall survival compared to non-transplanted patients. This is the first analysis to describe ATLL pathological features, cytogenetics, and response to standard therapy and transplantation in the Caribbean cohort.", "author" : [ { "dropping-particle" : "", "family" : "Zell", "given" : "Monica", "non-dropping-particle" : "", "parse-names" : false, "suffix" : "" }, { "dropping-particle" : "", "family" : "Assal", "given" : "Amer", "non-dropping-particle" : "", "parse-names" : false, "suffix" : "" }, { "dropping-particle" : "", "family" : "Derman", "given" : "Olga", "non-dropping-particle" : "", "parse-names" : false, "suffix" : "" }, { "dropping-particle" : "", "family" : "Kornblum", "given" : "Noah", "non-dropping-particle" : "", "parse-names" : false, "suffix" : "" }, { "dropping-particle" : "", "family" : "Battini", "given" : "Ramakrishna", "non-dropping-particle" : "", "parse-names" : false, "suffix" : "" }, { "dropping-particle" : "", "family" : "Wang", "given" : "Yanhua", "non-dropping-particle" : "", "parse-names" : false, "suffix" : "" }, { "dropping-particle" : "", "family" : "Narasimhulu", "given" : "Deepa M.", "non-dropping-particle" : "", "parse-names" : false, "suffix" : "" }, { "dropping-particle" : "", "family" : "Mantzaris", "given" : "Ioannis", "non-dropping-particle" : "", "parse-names" : false, "suffix" : "" }, { "dropping-particle" : "", "family" : "Shastri", "given" : "Aditi", "non-dropping-particle" : "", "parse-names" : false, "suffix" : "" }, { "dropping-particle" : "", "family" : "Verma", "given" : "Amit", "non-dropping-particle" : "", "parse-names" : false, "suffix" : "" }, { "dropping-particle" : "", "family" : "Ye", "given" : "Hilda", "non-dropping-particle" : "", "parse-names" : false, "suffix" : "" }, { "dropping-particle" : "", "family" : "Braunschweig", "given" : "Ira", "non-dropping-particle" : "", "parse-names" : false, "suffix" : "" }, { "dropping-particle" : "", "family" : "Janakiram", "given" : "Murali", "non-dropping-particle" : "", "parse-names" : false, "suffix" : "" } ], "container-title" : "Oncotarget", "id" : "ITEM-7", "issue" : "32", "issued" : { "date-parts" : [ [ "2016" ] ] }, "page" : "51981-51990", "title" : "Adult T-Cell leukemia/lymphoma in the Caribbean cohort is a distinct clinical entity with dismal response to conventional chemotherapy", "type" : "article-journal", "volume" : "7" }, "uris" : [ "http://www.mendeley.com/documents/?uuid=e40028e0-dda0-4dcb-8c61-486a4f7c4c7a" ] } ], "mendeley" : { "formattedCitation" : "(3,4,25\u201329)", "plainTextFormattedCitation" : "(3,4,25\u201329)", "previouslyFormattedCitation" : "(3,4,25\u201329)" }, "properties" : {  }, "schema" : "https://github.com/citation-style-language/schema/raw/master/csl-citation.json" }</w:instrText>
      </w:r>
      <w:r w:rsidR="002B7568">
        <w:rPr>
          <w:rFonts w:ascii="Arial" w:hAnsi="Arial" w:cs="Arial"/>
          <w:sz w:val="20"/>
          <w:szCs w:val="20"/>
        </w:rPr>
        <w:fldChar w:fldCharType="separate"/>
      </w:r>
      <w:r w:rsidR="00111EA9" w:rsidRPr="00111EA9">
        <w:rPr>
          <w:rFonts w:ascii="Arial" w:hAnsi="Arial" w:cs="Arial"/>
          <w:noProof/>
          <w:sz w:val="20"/>
          <w:szCs w:val="20"/>
        </w:rPr>
        <w:t>(3,4,25–29)</w:t>
      </w:r>
      <w:r w:rsidR="002B7568">
        <w:rPr>
          <w:rFonts w:ascii="Arial" w:hAnsi="Arial" w:cs="Arial"/>
          <w:sz w:val="20"/>
          <w:szCs w:val="20"/>
        </w:rPr>
        <w:fldChar w:fldCharType="end"/>
      </w:r>
      <w:r>
        <w:rPr>
          <w:rFonts w:ascii="Arial" w:hAnsi="Arial" w:cs="Arial"/>
          <w:sz w:val="20"/>
          <w:szCs w:val="20"/>
        </w:rPr>
        <w:t xml:space="preserve"> Por otro lado, en Colombia y Argentina se cuenta con sólo casos reporte.</w:t>
      </w:r>
      <w:r w:rsidR="002B7568">
        <w:rPr>
          <w:rFonts w:ascii="Arial" w:hAnsi="Arial" w:cs="Arial"/>
          <w:sz w:val="20"/>
          <w:szCs w:val="20"/>
        </w:rPr>
        <w:fldChar w:fldCharType="begin" w:fldLock="1"/>
      </w:r>
      <w:r w:rsidR="00111EA9">
        <w:rPr>
          <w:rFonts w:ascii="Arial" w:hAnsi="Arial" w:cs="Arial"/>
          <w:sz w:val="20"/>
          <w:szCs w:val="20"/>
        </w:rPr>
        <w:instrText>ADDIN CSL_CITATION { "citationItems" : [ { "id" : "ITEM-1", "itemData" : { "DOI" : "10.1046/j.1440-1827.2002.01356.x", "ISSN" : "13205463", "PMID" : "12100517", "abstract" : "Human T-cell leukemia virus type 1 (HTLV-1) infection is prevalent in native Americans living in the Andes. Some of their malignant lymphomas (ML) show a peculiar histology suggestive of adult T-cell leukemia/lymphoma (ATLL). To determine whether ML resembling ATLL are indeed ATLL, re-analysis of 34 cases occurring in Jujuy, a province of Argentina, was conducted, concentrating on immunological phenotype, integration of HTLV-1 proviral DNA, expression of HTLV-1 p40Tax and p27Rex, and infection of Epstein-Barr virus (EBV). The ML were 22 cases of mature peripheral T-cell and natural killer (NK)-cell neoplasm (mT/NKN), 11 B-cell malignant neoplasms and one Hodgkin's lymphoma. Polymerase chain reaction against the HTLV-1 proviral DNA, using DNA extracted from paraffin sections, indicated integration of the HTLV-1 proviral DNA in three cases of eight mT/NKN. Two other cases of mT/NKN were positive for anti-HTLV-1 antibodies. Expression of p40Tax and p27Rex was detected in all five of these mT/NKN cases associated with HTLV-1. As such, these five mT/NKN were rediagnosed as ATLL. In situ hybridization signals for EBV-encoded small nuclear early region-1 were detected in nine cases of mT/ NKN, of which five cases of NK-cell lymphoma were found to have cytoplasmic CD3 expression, a CD56 phenotype and positivity of TIA1. According to the new World Health Organization classification, the mT/NKN class includes five cases of ATLL and five cases of NK-cell lymphomas. The five cases of ATLL were of native American extraction from an HTLV-1-endemic area around Jujuy, north-west Argentina.", "author" : [ { "dropping-particle" : "", "family" : "Marin", "given" : "Oscar", "non-dropping-particle" : "", "parse-names" : false, "suffix" : "" }, { "dropping-particle" : "", "family" : "Hasui", "given" : "Kazuhisa", "non-dropping-particle" : "", "parse-names" : false, "suffix" : "" }, { "dropping-particle" : "", "family" : "Remondegui", "given" : "Carlos", "non-dropping-particle" : "", "parse-names" : false, "suffix" : "" }, { "dropping-particle" : "", "family" : "Sato", "given" : "Eiichi", "non-dropping-particle" : "", "parse-names" : false, "suffix" : "" }, { "dropping-particle" : "", "family" : "Aye", "given" : "Moe Moe", "non-dropping-particle" : "", "parse-names" : false, "suffix" : "" }, { "dropping-particle" : "", "family" : "Takenouchi", "given" : "Norihiro", "non-dropping-particle" : "", "parse-names" : false, "suffix" : "" }, { "dropping-particle" : "", "family" : "Izumo", "given" : "Shuji", "non-dropping-particle" : "", "parse-names" : false, "suffix" : "" }, { "dropping-particle" : "", "family" : "Tajima", "given" : "Kazuo", "non-dropping-particle" : "", "parse-names" : false, "suffix" : "" } ], "container-title" : "Pathology International", "id" : "ITEM-1", "issue" : "5-6", "issued" : { "date-parts" : [ [ "2002" ] ] }, "page" : "348-357", "title" : "Adult T-cell leukemia/lymphoma in Jujuy, north-west Argentina", "type" : "article-journal", "volume" : "52" }, "uris" : [ "http://www.mendeley.com/documents/?uuid=a98a6572-d24f-4647-9bff-03bcc23dcb52" ] }, { "id" : "ITEM-2", "itemData" : { "DOI" : "10.3109/10428190009057650", "ISSN" : "10428194", "abstract" : "Here we describe two Caucasian brothers who developed adult T-cell leukemia/lymphoma (ATLL), within a short period of time. These two patients have never left Argentina. Their parents are dead and according to the family history it is possible that the mother may have been affected by spastic paraparesis. The daughters reported that their mother had suffered from increasing difficulty in walking for many years which finally made it impossible for to her walk. There are no other data to support the presumptive diagnosis. One of the patients presented with acute disease while the other had a lymphoma type disorder. Both were positive for HTLV 1. The first patient died with disease progression ten months after diagnosis and the second is in partial remission 13 months after diagnosis. Immunophenotyping showed CD4+, CD5+, CD3+, CD2+, CD8 (-). Two asymptomatic brothers with positive HTLV 1 serology were detected. This is the first family case that has been reported in Argentina.", "author" : [ { "dropping-particle" : "", "family" : "Prates", "given" : "Virginia", "non-dropping-particle" : "", "parse-names" : false, "suffix" : "" }, { "dropping-particle" : "", "family" : "Cobos", "given" : "Marisa", "non-dropping-particle" : "", "parse-names" : false, "suffix" : "" }, { "dropping-particle" : "", "family" : "Bouzas", "given" : "Bele\u0144N", "non-dropping-particle" : "", "parse-names" : false, "suffix" : "" }, { "dropping-particle" : "", "family" : "Napal", "given" : "Juan", "non-dropping-particle" : "", "parse-names" : false, "suffix" : "" }, { "dropping-particle" : "", "family" : "Bordone", "given" : "Javier", "non-dropping-particle" : "", "parse-names" : false, "suffix" : "" }, { "dropping-particle" : "", "family" : "Milone", "given" : "Jorge", "non-dropping-particle" : "", "parse-names" : false, "suffix" : "" } ], "container-title" : "Leukemia and Lymphoma", "id" : "ITEM-2", "issue" : "1-2", "issued" : { "date-parts" : [ [ "2000" ] ] }, "page" : "225-227", "title" : "The first report of familial adult T-Cell leukemia/lymphoma in Argentina", "type" : "article-journal", "volume" : "37" }, "uris" : [ "http://www.mendeley.com/documents/?uuid=8f4282fc-f70f-491a-bcb0-f4a1cc79d4f8" ] }, { "id" : "ITEM-3", "itemData" : { "DOI" : "10.7705/biomedica.v33i4.1429", "ISSN" : "0120-4157", "abstract" : "Adult T-cell leukemia/lymphoma (ATLL) is a malignant neoplasia of mature CD4+ T lymphocytes,resulting from infection with human T-lymphotropic virus type 1 (HTLV-1), with several systemic and cutaneous manifestations. We present two cases of adult T-cell leukemia/lymphoma, in patients from the Colombian Southwestern region, whose diagnoses were confirmed by histology, immunohistochemistry, flow cytometry, ELISA and Western blot tests. We also discuss about the virus and how to make this diagnosis in countries like Colombia.", "author" : [ { "dropping-particle" : "", "family" : "Medina", "given" : "Edwin Abraham", "non-dropping-particle" : "", "parse-names" : false, "suffix" : "" }, { "dropping-particle" : "", "family" : "Orduz", "given" : "Roc\u00edo", "non-dropping-particle" : "", "parse-names" : false, "suffix" : "" }, { "dropping-particle" : "", "family" : "Morales", "given" : "Olga Luc\u00eda", "non-dropping-particle" : "", "parse-names" : false, "suffix" : "" }, { "dropping-particle" : "", "family" : "Mart\u00ednez", "given" : "\u00d3scar", "non-dropping-particle" : "", "parse-names" : false, "suffix" : "" }, { "dropping-particle" : "", "family" : "Baldi\u00f3n", "given" : "Margarita", "non-dropping-particle" : "", "parse-names" : false, "suffix" : "" }, { "dropping-particle" : "", "family" : "Isaza", "given" : "Mario Arturo", "non-dropping-particle" : "", "parse-names" : false, "suffix" : "" } ], "container-title" : "Biomedica", "id" : "ITEM-3", "issue" : "4", "issued" : { "date-parts" : [ [ "2013" ] ] }, "page" : "519-525", "title" : "Adult T-cell leukemia/lymphoma in HTLV-1 infected patients: Report of two cases in Colombia", "type" : "article-journal", "volume" : "33" }, "uris" : [ "http://www.mendeley.com/documents/?uuid=85ff609b-6bac-4e9d-b605-eb6673ce3c2c" ] } ], "mendeley" : { "formattedCitation" : "(30\u201332)", "plainTextFormattedCitation" : "(30\u201332)", "previouslyFormattedCitation" : "(30\u201332)" }, "properties" : {  }, "schema" : "https://github.com/citation-style-language/schema/raw/master/csl-citation.json" }</w:instrText>
      </w:r>
      <w:r w:rsidR="002B7568">
        <w:rPr>
          <w:rFonts w:ascii="Arial" w:hAnsi="Arial" w:cs="Arial"/>
          <w:sz w:val="20"/>
          <w:szCs w:val="20"/>
        </w:rPr>
        <w:fldChar w:fldCharType="separate"/>
      </w:r>
      <w:r w:rsidR="00111EA9" w:rsidRPr="00111EA9">
        <w:rPr>
          <w:rFonts w:ascii="Arial" w:hAnsi="Arial" w:cs="Arial"/>
          <w:noProof/>
          <w:sz w:val="20"/>
          <w:szCs w:val="20"/>
        </w:rPr>
        <w:t>(30–32)</w:t>
      </w:r>
      <w:r w:rsidR="002B7568">
        <w:rPr>
          <w:rFonts w:ascii="Arial" w:hAnsi="Arial" w:cs="Arial"/>
          <w:sz w:val="20"/>
          <w:szCs w:val="20"/>
        </w:rPr>
        <w:fldChar w:fldCharType="end"/>
      </w:r>
    </w:p>
    <w:p w14:paraId="1120D16B" w14:textId="77777777" w:rsidR="00C023DC" w:rsidRDefault="00C023DC" w:rsidP="005031A0">
      <w:pPr>
        <w:jc w:val="both"/>
        <w:rPr>
          <w:rFonts w:ascii="Arial" w:hAnsi="Arial" w:cs="Arial"/>
          <w:sz w:val="20"/>
          <w:szCs w:val="20"/>
        </w:rPr>
      </w:pPr>
    </w:p>
    <w:p w14:paraId="53475B3B" w14:textId="4B7B40BA" w:rsidR="00C023DC" w:rsidRDefault="00C023DC" w:rsidP="00C023DC">
      <w:pPr>
        <w:jc w:val="both"/>
        <w:rPr>
          <w:rFonts w:ascii="Arial" w:hAnsi="Arial" w:cs="Arial"/>
          <w:sz w:val="20"/>
          <w:szCs w:val="20"/>
        </w:rPr>
      </w:pPr>
      <w:r>
        <w:rPr>
          <w:rFonts w:ascii="Arial" w:hAnsi="Arial" w:cs="Arial"/>
          <w:sz w:val="20"/>
          <w:szCs w:val="20"/>
        </w:rPr>
        <w:t xml:space="preserve">Por todo lo anterior existe una gran necesidad de un mayor </w:t>
      </w:r>
      <w:r w:rsidR="003C6F05">
        <w:rPr>
          <w:rFonts w:ascii="Arial" w:hAnsi="Arial" w:cs="Arial"/>
          <w:sz w:val="20"/>
          <w:szCs w:val="20"/>
        </w:rPr>
        <w:t>conocimiento</w:t>
      </w:r>
      <w:r>
        <w:rPr>
          <w:rFonts w:ascii="Arial" w:hAnsi="Arial" w:cs="Arial"/>
          <w:sz w:val="20"/>
          <w:szCs w:val="20"/>
        </w:rPr>
        <w:t xml:space="preserve"> de </w:t>
      </w:r>
      <w:r w:rsidR="003C6F05">
        <w:rPr>
          <w:rFonts w:ascii="Arial" w:hAnsi="Arial" w:cs="Arial"/>
          <w:sz w:val="20"/>
          <w:szCs w:val="20"/>
        </w:rPr>
        <w:t>las</w:t>
      </w:r>
      <w:r>
        <w:rPr>
          <w:rFonts w:ascii="Arial" w:hAnsi="Arial" w:cs="Arial"/>
          <w:sz w:val="20"/>
          <w:szCs w:val="20"/>
        </w:rPr>
        <w:t xml:space="preserve"> manifestaciones clínicas, </w:t>
      </w:r>
      <w:r w:rsidR="003C6F05">
        <w:rPr>
          <w:rFonts w:ascii="Arial" w:hAnsi="Arial" w:cs="Arial"/>
          <w:sz w:val="20"/>
          <w:szCs w:val="20"/>
        </w:rPr>
        <w:t xml:space="preserve">patológicas, </w:t>
      </w:r>
      <w:r>
        <w:rPr>
          <w:rFonts w:ascii="Arial" w:hAnsi="Arial" w:cs="Arial"/>
          <w:sz w:val="20"/>
          <w:szCs w:val="20"/>
        </w:rPr>
        <w:t xml:space="preserve">evolución y </w:t>
      </w:r>
      <w:r w:rsidR="001971B4">
        <w:rPr>
          <w:rFonts w:ascii="Arial" w:hAnsi="Arial" w:cs="Arial"/>
          <w:sz w:val="20"/>
          <w:szCs w:val="20"/>
        </w:rPr>
        <w:t>resultados en el</w:t>
      </w:r>
      <w:r>
        <w:rPr>
          <w:rFonts w:ascii="Arial" w:hAnsi="Arial" w:cs="Arial"/>
          <w:sz w:val="20"/>
          <w:szCs w:val="20"/>
        </w:rPr>
        <w:t xml:space="preserve"> tratamiento </w:t>
      </w:r>
      <w:r w:rsidR="003C6F05">
        <w:rPr>
          <w:rFonts w:ascii="Arial" w:hAnsi="Arial" w:cs="Arial"/>
          <w:sz w:val="20"/>
          <w:szCs w:val="20"/>
        </w:rPr>
        <w:t>de manera conjunta</w:t>
      </w:r>
      <w:r>
        <w:rPr>
          <w:rFonts w:ascii="Arial" w:hAnsi="Arial" w:cs="Arial"/>
          <w:sz w:val="20"/>
          <w:szCs w:val="20"/>
        </w:rPr>
        <w:t xml:space="preserve"> </w:t>
      </w:r>
      <w:r w:rsidR="00863AA6">
        <w:rPr>
          <w:rFonts w:ascii="Arial" w:hAnsi="Arial" w:cs="Arial"/>
          <w:sz w:val="20"/>
          <w:szCs w:val="20"/>
        </w:rPr>
        <w:t>como grupo Latinoam</w:t>
      </w:r>
      <w:r w:rsidR="003C6F05">
        <w:rPr>
          <w:rFonts w:ascii="Arial" w:hAnsi="Arial" w:cs="Arial"/>
          <w:sz w:val="20"/>
          <w:szCs w:val="20"/>
        </w:rPr>
        <w:t>ericano.</w:t>
      </w:r>
    </w:p>
    <w:p w14:paraId="5C05B4C0" w14:textId="77777777" w:rsidR="005031A0" w:rsidRPr="005031A0" w:rsidRDefault="005031A0" w:rsidP="005031A0">
      <w:pPr>
        <w:jc w:val="both"/>
        <w:rPr>
          <w:rFonts w:ascii="Arial" w:hAnsi="Arial" w:cs="Arial"/>
          <w:sz w:val="20"/>
          <w:szCs w:val="20"/>
        </w:rPr>
      </w:pPr>
    </w:p>
    <w:p w14:paraId="61F40D54" w14:textId="2E80C24E" w:rsidR="005031A0" w:rsidRPr="005031A0" w:rsidRDefault="005031A0" w:rsidP="005031A0">
      <w:pPr>
        <w:jc w:val="both"/>
        <w:rPr>
          <w:rFonts w:ascii="Arial" w:hAnsi="Arial" w:cs="Arial"/>
          <w:sz w:val="20"/>
          <w:szCs w:val="20"/>
        </w:rPr>
      </w:pPr>
      <w:r w:rsidRPr="005031A0">
        <w:rPr>
          <w:rFonts w:ascii="Arial" w:hAnsi="Arial" w:cs="Arial"/>
          <w:sz w:val="20"/>
          <w:szCs w:val="20"/>
        </w:rPr>
        <w:lastRenderedPageBreak/>
        <w:t>Los datos obtenidos formarán parte de la base de datos del Grupo de Estudio del Linfoma Latinoamericano (GELL).</w:t>
      </w:r>
    </w:p>
    <w:p w14:paraId="2DDAB97B" w14:textId="77777777" w:rsidR="004216BD" w:rsidRDefault="004216BD" w:rsidP="005031A0">
      <w:pPr>
        <w:jc w:val="both"/>
        <w:rPr>
          <w:rFonts w:ascii="Arial" w:hAnsi="Arial" w:cs="Arial"/>
          <w:sz w:val="20"/>
          <w:szCs w:val="20"/>
        </w:rPr>
      </w:pPr>
    </w:p>
    <w:p w14:paraId="7B8F65C0" w14:textId="77777777" w:rsidR="00D70806" w:rsidRDefault="00D70806" w:rsidP="005031A0">
      <w:pPr>
        <w:jc w:val="both"/>
        <w:rPr>
          <w:rFonts w:ascii="Arial" w:hAnsi="Arial" w:cs="Arial"/>
          <w:sz w:val="20"/>
          <w:szCs w:val="20"/>
        </w:rPr>
      </w:pPr>
    </w:p>
    <w:p w14:paraId="12B7E1C5" w14:textId="77777777" w:rsidR="005D65B7" w:rsidRDefault="005D65B7" w:rsidP="004216BD">
      <w:pPr>
        <w:tabs>
          <w:tab w:val="left" w:pos="1787"/>
        </w:tabs>
      </w:pPr>
    </w:p>
    <w:p w14:paraId="1C90025F" w14:textId="2C22CC31" w:rsidR="001971B4" w:rsidRPr="001971B4" w:rsidRDefault="001971B4" w:rsidP="001971B4">
      <w:pPr>
        <w:autoSpaceDE w:val="0"/>
        <w:autoSpaceDN w:val="0"/>
        <w:adjustRightInd w:val="0"/>
        <w:jc w:val="both"/>
        <w:rPr>
          <w:rFonts w:ascii="Arial" w:hAnsi="Arial" w:cs="Arial"/>
          <w:b/>
          <w:color w:val="000000"/>
          <w:sz w:val="20"/>
          <w:szCs w:val="20"/>
        </w:rPr>
      </w:pPr>
      <w:r w:rsidRPr="001971B4">
        <w:rPr>
          <w:rFonts w:ascii="Arial" w:hAnsi="Arial" w:cs="Arial"/>
          <w:b/>
          <w:color w:val="000000"/>
          <w:sz w:val="20"/>
          <w:szCs w:val="20"/>
        </w:rPr>
        <w:t>CAPITULO II OBJETIVOS DE INVESTIGACION</w:t>
      </w:r>
      <w:r w:rsidRPr="001971B4">
        <w:rPr>
          <w:rFonts w:ascii="Arial" w:hAnsi="Arial" w:cs="Arial"/>
          <w:b/>
          <w:color w:val="000000"/>
          <w:sz w:val="20"/>
          <w:szCs w:val="20"/>
        </w:rPr>
        <w:tab/>
      </w:r>
      <w:r w:rsidRPr="001971B4">
        <w:rPr>
          <w:rFonts w:ascii="Arial" w:hAnsi="Arial" w:cs="Arial"/>
          <w:b/>
          <w:color w:val="000000"/>
          <w:sz w:val="20"/>
          <w:szCs w:val="20"/>
        </w:rPr>
        <w:tab/>
      </w:r>
      <w:r w:rsidRPr="001971B4">
        <w:rPr>
          <w:rFonts w:ascii="Arial" w:hAnsi="Arial" w:cs="Arial"/>
          <w:b/>
          <w:color w:val="000000"/>
          <w:sz w:val="20"/>
          <w:szCs w:val="20"/>
        </w:rPr>
        <w:tab/>
      </w:r>
    </w:p>
    <w:p w14:paraId="4B73352E" w14:textId="5BB7C1BD" w:rsidR="001971B4" w:rsidRPr="001971B4" w:rsidRDefault="001971B4" w:rsidP="001971B4">
      <w:pPr>
        <w:autoSpaceDE w:val="0"/>
        <w:autoSpaceDN w:val="0"/>
        <w:adjustRightInd w:val="0"/>
        <w:jc w:val="both"/>
        <w:rPr>
          <w:rFonts w:ascii="Arial" w:hAnsi="Arial" w:cs="Arial"/>
          <w:b/>
          <w:color w:val="000000"/>
          <w:sz w:val="20"/>
          <w:szCs w:val="20"/>
        </w:rPr>
      </w:pPr>
      <w:r w:rsidRPr="001971B4">
        <w:rPr>
          <w:rFonts w:ascii="Arial" w:hAnsi="Arial" w:cs="Arial"/>
          <w:b/>
          <w:color w:val="000000"/>
          <w:sz w:val="20"/>
          <w:szCs w:val="20"/>
        </w:rPr>
        <w:tab/>
      </w:r>
      <w:r w:rsidRPr="001971B4">
        <w:rPr>
          <w:rFonts w:ascii="Arial" w:hAnsi="Arial" w:cs="Arial"/>
          <w:b/>
          <w:color w:val="000000"/>
          <w:sz w:val="20"/>
          <w:szCs w:val="20"/>
        </w:rPr>
        <w:tab/>
      </w:r>
    </w:p>
    <w:p w14:paraId="10334F2C" w14:textId="77777777" w:rsidR="001971B4" w:rsidRPr="001971B4" w:rsidRDefault="001971B4" w:rsidP="001971B4">
      <w:pPr>
        <w:autoSpaceDE w:val="0"/>
        <w:autoSpaceDN w:val="0"/>
        <w:adjustRightInd w:val="0"/>
        <w:jc w:val="both"/>
        <w:rPr>
          <w:rFonts w:ascii="Arial" w:hAnsi="Arial" w:cs="Arial"/>
          <w:color w:val="000000"/>
          <w:sz w:val="20"/>
          <w:szCs w:val="20"/>
        </w:rPr>
      </w:pPr>
    </w:p>
    <w:p w14:paraId="1B7110D2" w14:textId="77777777" w:rsidR="001971B4" w:rsidRPr="001971B4" w:rsidRDefault="001971B4" w:rsidP="001971B4">
      <w:pPr>
        <w:autoSpaceDE w:val="0"/>
        <w:autoSpaceDN w:val="0"/>
        <w:adjustRightInd w:val="0"/>
        <w:jc w:val="both"/>
        <w:rPr>
          <w:rFonts w:ascii="Arial" w:hAnsi="Arial" w:cs="Arial"/>
          <w:b/>
          <w:bCs/>
          <w:color w:val="000000"/>
          <w:sz w:val="20"/>
          <w:szCs w:val="20"/>
        </w:rPr>
      </w:pPr>
      <w:r w:rsidRPr="001971B4">
        <w:rPr>
          <w:rFonts w:ascii="Arial" w:hAnsi="Arial" w:cs="Arial"/>
          <w:b/>
          <w:bCs/>
          <w:color w:val="000000"/>
          <w:sz w:val="20"/>
          <w:szCs w:val="20"/>
        </w:rPr>
        <w:t>2.1.</w:t>
      </w:r>
      <w:r w:rsidRPr="001971B4">
        <w:rPr>
          <w:rFonts w:ascii="Arial" w:hAnsi="Arial" w:cs="Arial"/>
          <w:b/>
          <w:bCs/>
          <w:color w:val="000000"/>
          <w:sz w:val="20"/>
          <w:szCs w:val="20"/>
        </w:rPr>
        <w:tab/>
        <w:t>Objetivo general</w:t>
      </w:r>
    </w:p>
    <w:p w14:paraId="5B9F06DA" w14:textId="77777777" w:rsidR="001971B4" w:rsidRPr="001971B4" w:rsidRDefault="001971B4" w:rsidP="001971B4">
      <w:pPr>
        <w:autoSpaceDE w:val="0"/>
        <w:autoSpaceDN w:val="0"/>
        <w:adjustRightInd w:val="0"/>
        <w:jc w:val="both"/>
        <w:rPr>
          <w:rFonts w:ascii="Arial" w:hAnsi="Arial" w:cs="Arial"/>
          <w:color w:val="000000"/>
          <w:sz w:val="20"/>
          <w:szCs w:val="20"/>
        </w:rPr>
      </w:pPr>
    </w:p>
    <w:p w14:paraId="7ED6CCBB" w14:textId="799A0B3F" w:rsidR="001971B4" w:rsidRPr="001971B4" w:rsidRDefault="001971B4" w:rsidP="001971B4">
      <w:pPr>
        <w:pStyle w:val="Prrafodelista"/>
        <w:numPr>
          <w:ilvl w:val="0"/>
          <w:numId w:val="2"/>
        </w:numPr>
        <w:suppressAutoHyphens/>
        <w:autoSpaceDE w:val="0"/>
        <w:autoSpaceDN w:val="0"/>
        <w:adjustRightInd w:val="0"/>
        <w:jc w:val="both"/>
        <w:rPr>
          <w:rFonts w:ascii="Arial" w:hAnsi="Arial" w:cs="Arial"/>
          <w:sz w:val="20"/>
          <w:szCs w:val="20"/>
        </w:rPr>
      </w:pPr>
      <w:r w:rsidRPr="001971B4">
        <w:rPr>
          <w:rFonts w:ascii="Arial" w:hAnsi="Arial" w:cs="Arial"/>
          <w:color w:val="000000"/>
          <w:sz w:val="20"/>
          <w:szCs w:val="20"/>
        </w:rPr>
        <w:t xml:space="preserve">Determinar </w:t>
      </w:r>
      <w:r w:rsidRPr="001971B4">
        <w:rPr>
          <w:rFonts w:ascii="Arial" w:hAnsi="Arial" w:cs="Arial"/>
          <w:sz w:val="20"/>
          <w:szCs w:val="20"/>
        </w:rPr>
        <w:t xml:space="preserve">la caracterización epidemiológica, clínicas, </w:t>
      </w:r>
      <w:r w:rsidR="000C3111">
        <w:rPr>
          <w:rFonts w:ascii="Arial" w:hAnsi="Arial" w:cs="Arial"/>
          <w:sz w:val="20"/>
          <w:szCs w:val="20"/>
        </w:rPr>
        <w:t xml:space="preserve">de laboratorio </w:t>
      </w:r>
      <w:r w:rsidRPr="001971B4">
        <w:rPr>
          <w:rFonts w:ascii="Arial" w:hAnsi="Arial" w:cs="Arial"/>
          <w:sz w:val="20"/>
          <w:szCs w:val="20"/>
        </w:rPr>
        <w:t>y de respuesta a tratamiento de los pacientes con Leucemia/Linfoma de Células T del Adulto en los países que conforman el grupo GELL.</w:t>
      </w:r>
    </w:p>
    <w:p w14:paraId="11792596" w14:textId="77777777" w:rsidR="001971B4" w:rsidRPr="001971B4" w:rsidRDefault="001971B4" w:rsidP="001971B4">
      <w:pPr>
        <w:autoSpaceDE w:val="0"/>
        <w:autoSpaceDN w:val="0"/>
        <w:adjustRightInd w:val="0"/>
        <w:jc w:val="both"/>
        <w:rPr>
          <w:rFonts w:ascii="Arial" w:hAnsi="Arial" w:cs="Arial"/>
          <w:color w:val="000000"/>
          <w:sz w:val="20"/>
          <w:szCs w:val="20"/>
        </w:rPr>
      </w:pPr>
    </w:p>
    <w:p w14:paraId="6FA3A483" w14:textId="77777777" w:rsidR="001971B4" w:rsidRPr="001971B4" w:rsidRDefault="001971B4" w:rsidP="001971B4">
      <w:pPr>
        <w:autoSpaceDE w:val="0"/>
        <w:autoSpaceDN w:val="0"/>
        <w:adjustRightInd w:val="0"/>
        <w:jc w:val="both"/>
        <w:rPr>
          <w:rFonts w:ascii="Arial" w:hAnsi="Arial" w:cs="Arial"/>
          <w:color w:val="000000"/>
          <w:sz w:val="20"/>
          <w:szCs w:val="20"/>
        </w:rPr>
      </w:pPr>
    </w:p>
    <w:p w14:paraId="73EB1831" w14:textId="77777777" w:rsidR="001971B4" w:rsidRPr="001971B4" w:rsidRDefault="001971B4" w:rsidP="001971B4">
      <w:pPr>
        <w:jc w:val="both"/>
        <w:rPr>
          <w:rFonts w:ascii="Arial" w:hAnsi="Arial" w:cs="Arial"/>
          <w:b/>
          <w:bCs/>
          <w:color w:val="000000"/>
          <w:sz w:val="20"/>
          <w:szCs w:val="20"/>
        </w:rPr>
      </w:pPr>
      <w:r w:rsidRPr="001971B4">
        <w:rPr>
          <w:rFonts w:ascii="Arial" w:hAnsi="Arial" w:cs="Arial"/>
          <w:b/>
          <w:bCs/>
          <w:color w:val="000000"/>
          <w:sz w:val="20"/>
          <w:szCs w:val="20"/>
        </w:rPr>
        <w:t>2.2.</w:t>
      </w:r>
      <w:r w:rsidRPr="001971B4">
        <w:rPr>
          <w:rFonts w:ascii="Arial" w:hAnsi="Arial" w:cs="Arial"/>
          <w:b/>
          <w:bCs/>
          <w:color w:val="000000"/>
          <w:sz w:val="20"/>
          <w:szCs w:val="20"/>
        </w:rPr>
        <w:tab/>
        <w:t>Objetivos específicos</w:t>
      </w:r>
    </w:p>
    <w:p w14:paraId="1D0C1181" w14:textId="77777777" w:rsidR="001971B4" w:rsidRPr="001971B4" w:rsidRDefault="001971B4" w:rsidP="001971B4">
      <w:pPr>
        <w:jc w:val="both"/>
        <w:rPr>
          <w:rFonts w:ascii="Arial" w:hAnsi="Arial" w:cs="Arial"/>
          <w:color w:val="000000"/>
          <w:sz w:val="20"/>
          <w:szCs w:val="20"/>
        </w:rPr>
      </w:pPr>
    </w:p>
    <w:p w14:paraId="73084585" w14:textId="77777777" w:rsidR="001971B4" w:rsidRPr="001971B4" w:rsidRDefault="001971B4" w:rsidP="001971B4">
      <w:pPr>
        <w:jc w:val="both"/>
        <w:rPr>
          <w:rFonts w:ascii="Arial" w:hAnsi="Arial" w:cs="Arial"/>
          <w:color w:val="000000"/>
          <w:sz w:val="20"/>
          <w:szCs w:val="20"/>
        </w:rPr>
      </w:pPr>
    </w:p>
    <w:p w14:paraId="40FA01B7" w14:textId="6DB5660B" w:rsidR="001971B4" w:rsidRPr="000C3111" w:rsidRDefault="001971B4" w:rsidP="001971B4">
      <w:pPr>
        <w:pStyle w:val="Prrafodelista"/>
        <w:numPr>
          <w:ilvl w:val="0"/>
          <w:numId w:val="3"/>
        </w:numPr>
        <w:suppressAutoHyphens/>
        <w:autoSpaceDE w:val="0"/>
        <w:autoSpaceDN w:val="0"/>
        <w:adjustRightInd w:val="0"/>
        <w:jc w:val="both"/>
        <w:rPr>
          <w:rFonts w:ascii="Arial" w:hAnsi="Arial" w:cs="Arial"/>
          <w:iCs/>
          <w:sz w:val="20"/>
          <w:szCs w:val="20"/>
        </w:rPr>
      </w:pPr>
      <w:r w:rsidRPr="001971B4">
        <w:rPr>
          <w:rFonts w:ascii="Arial" w:hAnsi="Arial" w:cs="Arial"/>
          <w:iCs/>
          <w:sz w:val="20"/>
          <w:szCs w:val="20"/>
        </w:rPr>
        <w:t xml:space="preserve">Determinar las características epidemiológicas del ATLL en cada país que conforme el grupo GELL.  </w:t>
      </w:r>
    </w:p>
    <w:p w14:paraId="4A206736" w14:textId="1FF2A57F" w:rsidR="001971B4" w:rsidRPr="000C3111" w:rsidRDefault="001971B4" w:rsidP="001971B4">
      <w:pPr>
        <w:pStyle w:val="Prrafodelista"/>
        <w:numPr>
          <w:ilvl w:val="0"/>
          <w:numId w:val="3"/>
        </w:numPr>
        <w:suppressAutoHyphens/>
        <w:autoSpaceDE w:val="0"/>
        <w:autoSpaceDN w:val="0"/>
        <w:adjustRightInd w:val="0"/>
        <w:jc w:val="both"/>
        <w:rPr>
          <w:rFonts w:ascii="Arial" w:hAnsi="Arial" w:cs="Arial"/>
          <w:iCs/>
          <w:sz w:val="20"/>
          <w:szCs w:val="20"/>
        </w:rPr>
      </w:pPr>
      <w:r w:rsidRPr="001971B4">
        <w:rPr>
          <w:rFonts w:ascii="Arial" w:hAnsi="Arial" w:cs="Arial"/>
          <w:iCs/>
          <w:sz w:val="20"/>
          <w:szCs w:val="20"/>
        </w:rPr>
        <w:t xml:space="preserve">Determinar las características clínicas y de laboratorio del ATLL en cada país que conforme el grupo GELL.  </w:t>
      </w:r>
    </w:p>
    <w:p w14:paraId="03EDBDD9" w14:textId="18FCE436" w:rsidR="001971B4" w:rsidRPr="000C3111" w:rsidRDefault="001971B4" w:rsidP="000C3111">
      <w:pPr>
        <w:pStyle w:val="Prrafodelista"/>
        <w:numPr>
          <w:ilvl w:val="0"/>
          <w:numId w:val="3"/>
        </w:numPr>
        <w:suppressAutoHyphens/>
        <w:autoSpaceDE w:val="0"/>
        <w:autoSpaceDN w:val="0"/>
        <w:adjustRightInd w:val="0"/>
        <w:jc w:val="both"/>
        <w:rPr>
          <w:rFonts w:ascii="Arial" w:hAnsi="Arial" w:cs="Arial"/>
          <w:iCs/>
          <w:sz w:val="20"/>
          <w:szCs w:val="20"/>
        </w:rPr>
      </w:pPr>
      <w:r w:rsidRPr="001971B4">
        <w:rPr>
          <w:rFonts w:ascii="Arial" w:hAnsi="Arial" w:cs="Arial"/>
          <w:iCs/>
          <w:sz w:val="20"/>
          <w:szCs w:val="20"/>
        </w:rPr>
        <w:t xml:space="preserve">Determinar las características de respuesta al tratamiento del ATLL en cada país que conforme el grupo GELL.  </w:t>
      </w:r>
    </w:p>
    <w:p w14:paraId="330559A9" w14:textId="547AAC94" w:rsidR="005D65B7" w:rsidRPr="000C3111" w:rsidRDefault="001971B4" w:rsidP="000C3111">
      <w:pPr>
        <w:pStyle w:val="Prrafodelista"/>
        <w:numPr>
          <w:ilvl w:val="0"/>
          <w:numId w:val="3"/>
        </w:numPr>
        <w:suppressAutoHyphens/>
        <w:jc w:val="both"/>
        <w:rPr>
          <w:rFonts w:ascii="Arial" w:hAnsi="Arial" w:cs="Arial"/>
          <w:iCs/>
          <w:sz w:val="20"/>
          <w:szCs w:val="20"/>
        </w:rPr>
      </w:pPr>
      <w:r w:rsidRPr="001971B4">
        <w:rPr>
          <w:rFonts w:ascii="Arial" w:hAnsi="Arial" w:cs="Arial"/>
          <w:iCs/>
          <w:sz w:val="20"/>
          <w:szCs w:val="20"/>
        </w:rPr>
        <w:t xml:space="preserve">Evaluar curvas de supervivencia </w:t>
      </w:r>
      <w:proofErr w:type="gramStart"/>
      <w:r w:rsidRPr="001971B4">
        <w:rPr>
          <w:rFonts w:ascii="Arial" w:hAnsi="Arial" w:cs="Arial"/>
          <w:iCs/>
          <w:sz w:val="20"/>
          <w:szCs w:val="20"/>
        </w:rPr>
        <w:t xml:space="preserve">global </w:t>
      </w:r>
      <w:r w:rsidR="00111EA9">
        <w:rPr>
          <w:rFonts w:ascii="Arial" w:hAnsi="Arial" w:cs="Arial"/>
          <w:iCs/>
          <w:sz w:val="20"/>
          <w:szCs w:val="20"/>
        </w:rPr>
        <w:t>,</w:t>
      </w:r>
      <w:proofErr w:type="gramEnd"/>
      <w:r w:rsidR="00111EA9">
        <w:rPr>
          <w:rFonts w:ascii="Arial" w:hAnsi="Arial" w:cs="Arial"/>
          <w:iCs/>
          <w:sz w:val="20"/>
          <w:szCs w:val="20"/>
        </w:rPr>
        <w:t xml:space="preserve"> sobrevida libre de progresión </w:t>
      </w:r>
      <w:r w:rsidRPr="001971B4">
        <w:rPr>
          <w:rFonts w:ascii="Arial" w:hAnsi="Arial" w:cs="Arial"/>
          <w:iCs/>
          <w:sz w:val="20"/>
          <w:szCs w:val="20"/>
        </w:rPr>
        <w:t xml:space="preserve">y asociación estadísticamente significativa con los rangos clínicos y </w:t>
      </w:r>
      <w:r>
        <w:rPr>
          <w:rFonts w:ascii="Arial" w:hAnsi="Arial" w:cs="Arial"/>
          <w:iCs/>
          <w:sz w:val="20"/>
          <w:szCs w:val="20"/>
        </w:rPr>
        <w:t>del laboratorio</w:t>
      </w:r>
      <w:r w:rsidRPr="001971B4">
        <w:rPr>
          <w:rFonts w:ascii="Arial" w:hAnsi="Arial" w:cs="Arial"/>
          <w:iCs/>
          <w:sz w:val="20"/>
          <w:szCs w:val="20"/>
        </w:rPr>
        <w:t xml:space="preserve"> obtenidos en los pacientes con ATLL durante el periodo 2010-2019.  </w:t>
      </w:r>
    </w:p>
    <w:p w14:paraId="539F6DF8" w14:textId="77777777" w:rsidR="001971B4" w:rsidRDefault="001971B4" w:rsidP="004216BD">
      <w:pPr>
        <w:tabs>
          <w:tab w:val="left" w:pos="1787"/>
        </w:tabs>
      </w:pPr>
    </w:p>
    <w:p w14:paraId="1326D389" w14:textId="77777777" w:rsidR="001971B4" w:rsidRDefault="001971B4" w:rsidP="001971B4">
      <w:pPr>
        <w:autoSpaceDE w:val="0"/>
        <w:autoSpaceDN w:val="0"/>
        <w:adjustRightInd w:val="0"/>
        <w:jc w:val="both"/>
        <w:rPr>
          <w:rFonts w:ascii="Arial" w:hAnsi="Arial" w:cs="Arial"/>
          <w:b/>
          <w:bCs/>
          <w:color w:val="000000"/>
          <w:sz w:val="20"/>
          <w:szCs w:val="20"/>
        </w:rPr>
      </w:pPr>
      <w:r w:rsidRPr="00546CFF">
        <w:rPr>
          <w:rFonts w:ascii="Arial" w:hAnsi="Arial" w:cs="Arial"/>
          <w:b/>
          <w:bCs/>
          <w:color w:val="000000"/>
          <w:sz w:val="20"/>
          <w:szCs w:val="20"/>
        </w:rPr>
        <w:t>CAPÍTULO III   METODOLOGIA</w:t>
      </w:r>
    </w:p>
    <w:p w14:paraId="538DEC49" w14:textId="77777777" w:rsidR="001971B4" w:rsidRPr="00546CFF" w:rsidRDefault="001971B4" w:rsidP="001971B4">
      <w:pPr>
        <w:autoSpaceDE w:val="0"/>
        <w:autoSpaceDN w:val="0"/>
        <w:adjustRightInd w:val="0"/>
        <w:jc w:val="both"/>
        <w:rPr>
          <w:rFonts w:ascii="Arial" w:hAnsi="Arial" w:cs="Arial"/>
          <w:b/>
          <w:bCs/>
          <w:color w:val="000000"/>
          <w:sz w:val="20"/>
          <w:szCs w:val="20"/>
        </w:rPr>
      </w:pPr>
    </w:p>
    <w:p w14:paraId="06AE8B3C" w14:textId="77777777" w:rsidR="001971B4" w:rsidRPr="00546CFF" w:rsidRDefault="001971B4" w:rsidP="001971B4">
      <w:pPr>
        <w:autoSpaceDE w:val="0"/>
        <w:autoSpaceDN w:val="0"/>
        <w:adjustRightInd w:val="0"/>
        <w:jc w:val="both"/>
        <w:rPr>
          <w:rFonts w:ascii="Arial" w:hAnsi="Arial" w:cs="Arial"/>
          <w:b/>
          <w:bCs/>
          <w:color w:val="000000"/>
          <w:sz w:val="20"/>
          <w:szCs w:val="20"/>
        </w:rPr>
      </w:pPr>
    </w:p>
    <w:p w14:paraId="712020AF" w14:textId="77777777" w:rsidR="001971B4" w:rsidRPr="00546CFF" w:rsidRDefault="001971B4" w:rsidP="001971B4">
      <w:pPr>
        <w:autoSpaceDE w:val="0"/>
        <w:autoSpaceDN w:val="0"/>
        <w:adjustRightInd w:val="0"/>
        <w:jc w:val="both"/>
        <w:rPr>
          <w:rFonts w:ascii="Arial" w:hAnsi="Arial" w:cs="Arial"/>
          <w:b/>
          <w:bCs/>
          <w:color w:val="000000"/>
          <w:sz w:val="20"/>
          <w:szCs w:val="20"/>
        </w:rPr>
      </w:pPr>
      <w:r w:rsidRPr="00546CFF">
        <w:rPr>
          <w:rFonts w:ascii="Arial" w:hAnsi="Arial" w:cs="Arial"/>
          <w:b/>
          <w:bCs/>
          <w:color w:val="000000"/>
          <w:sz w:val="20"/>
          <w:szCs w:val="20"/>
        </w:rPr>
        <w:t>3.1.</w:t>
      </w:r>
      <w:r w:rsidRPr="00546CFF">
        <w:rPr>
          <w:rFonts w:ascii="Arial" w:hAnsi="Arial" w:cs="Arial"/>
          <w:b/>
          <w:bCs/>
          <w:color w:val="000000"/>
          <w:sz w:val="20"/>
          <w:szCs w:val="20"/>
        </w:rPr>
        <w:tab/>
        <w:t>Diseño de estudio.</w:t>
      </w:r>
    </w:p>
    <w:p w14:paraId="7892DA00" w14:textId="77777777" w:rsidR="001971B4" w:rsidRDefault="001971B4" w:rsidP="001971B4">
      <w:pPr>
        <w:autoSpaceDE w:val="0"/>
        <w:autoSpaceDN w:val="0"/>
        <w:adjustRightInd w:val="0"/>
        <w:jc w:val="both"/>
        <w:rPr>
          <w:rFonts w:ascii="Arial" w:hAnsi="Arial" w:cs="Arial"/>
          <w:color w:val="000000"/>
          <w:sz w:val="20"/>
          <w:szCs w:val="20"/>
        </w:rPr>
      </w:pPr>
    </w:p>
    <w:p w14:paraId="153B729C" w14:textId="46EE2D6A" w:rsidR="001971B4" w:rsidRPr="000C3111" w:rsidRDefault="001971B4" w:rsidP="000C3111">
      <w:pPr>
        <w:ind w:left="708"/>
        <w:jc w:val="both"/>
        <w:rPr>
          <w:rFonts w:ascii="Arial" w:hAnsi="Arial" w:cs="Arial"/>
          <w:sz w:val="20"/>
          <w:szCs w:val="20"/>
          <w:lang w:val="es-PE"/>
        </w:rPr>
      </w:pPr>
      <w:r w:rsidRPr="005C14E8">
        <w:rPr>
          <w:rFonts w:ascii="Arial" w:hAnsi="Arial" w:cs="Arial"/>
          <w:sz w:val="20"/>
          <w:szCs w:val="20"/>
          <w:lang w:val="es-PE"/>
        </w:rPr>
        <w:t xml:space="preserve">El presente estudio es de tipo </w:t>
      </w:r>
      <w:r w:rsidRPr="005C14E8">
        <w:rPr>
          <w:rFonts w:ascii="Arial" w:eastAsia="Times New Roman" w:hAnsi="Arial" w:cs="Arial"/>
          <w:sz w:val="20"/>
          <w:szCs w:val="20"/>
          <w:lang w:eastAsia="es-ES"/>
        </w:rPr>
        <w:t>observacional, transversal, retrospectivo, con recolección de fuentes secundarias</w:t>
      </w:r>
      <w:r w:rsidRPr="005C14E8">
        <w:rPr>
          <w:rFonts w:ascii="Arial" w:hAnsi="Arial" w:cs="Arial"/>
          <w:sz w:val="20"/>
          <w:szCs w:val="20"/>
          <w:lang w:val="es-PE"/>
        </w:rPr>
        <w:t xml:space="preserve"> (historias clínicas).</w:t>
      </w:r>
    </w:p>
    <w:p w14:paraId="24A898C0" w14:textId="77777777" w:rsidR="001971B4" w:rsidRDefault="001971B4" w:rsidP="001971B4">
      <w:pPr>
        <w:autoSpaceDE w:val="0"/>
        <w:autoSpaceDN w:val="0"/>
        <w:adjustRightInd w:val="0"/>
        <w:jc w:val="both"/>
        <w:rPr>
          <w:rFonts w:ascii="Arial" w:hAnsi="Arial" w:cs="Arial"/>
          <w:color w:val="000000"/>
          <w:sz w:val="20"/>
          <w:szCs w:val="20"/>
        </w:rPr>
      </w:pPr>
    </w:p>
    <w:p w14:paraId="72F8BB90" w14:textId="77777777" w:rsidR="001971B4" w:rsidRPr="00BD5E51" w:rsidRDefault="001971B4" w:rsidP="001971B4">
      <w:pPr>
        <w:autoSpaceDE w:val="0"/>
        <w:autoSpaceDN w:val="0"/>
        <w:adjustRightInd w:val="0"/>
        <w:jc w:val="both"/>
        <w:rPr>
          <w:rFonts w:ascii="Arial" w:hAnsi="Arial" w:cs="Arial"/>
          <w:b/>
          <w:bCs/>
          <w:color w:val="000000"/>
          <w:sz w:val="20"/>
          <w:szCs w:val="20"/>
        </w:rPr>
      </w:pPr>
      <w:r w:rsidRPr="00BD5E51">
        <w:rPr>
          <w:rFonts w:ascii="Arial" w:hAnsi="Arial" w:cs="Arial"/>
          <w:b/>
          <w:bCs/>
          <w:color w:val="000000"/>
          <w:sz w:val="20"/>
          <w:szCs w:val="20"/>
        </w:rPr>
        <w:t xml:space="preserve">3.2. </w:t>
      </w:r>
      <w:r w:rsidRPr="00BD5E51">
        <w:rPr>
          <w:rFonts w:ascii="Arial" w:hAnsi="Arial" w:cs="Arial"/>
          <w:b/>
          <w:bCs/>
          <w:color w:val="000000"/>
          <w:sz w:val="20"/>
          <w:szCs w:val="20"/>
        </w:rPr>
        <w:tab/>
        <w:t>Población.</w:t>
      </w:r>
    </w:p>
    <w:p w14:paraId="4B407DE5" w14:textId="77777777" w:rsidR="001971B4" w:rsidRPr="001971B4" w:rsidRDefault="001971B4" w:rsidP="000C3111">
      <w:pPr>
        <w:autoSpaceDE w:val="0"/>
        <w:autoSpaceDN w:val="0"/>
        <w:adjustRightInd w:val="0"/>
        <w:ind w:left="708" w:hanging="708"/>
        <w:jc w:val="both"/>
        <w:rPr>
          <w:rFonts w:ascii="Arial" w:hAnsi="Arial" w:cs="Arial"/>
          <w:color w:val="000000"/>
          <w:sz w:val="20"/>
          <w:szCs w:val="20"/>
        </w:rPr>
      </w:pPr>
    </w:p>
    <w:p w14:paraId="769E2D43" w14:textId="23374E44" w:rsidR="001971B4" w:rsidRPr="001971B4" w:rsidRDefault="001971B4" w:rsidP="000C3111">
      <w:pPr>
        <w:pStyle w:val="Prrafodelista"/>
        <w:ind w:left="760"/>
        <w:jc w:val="both"/>
        <w:rPr>
          <w:rFonts w:ascii="Arial" w:hAnsi="Arial" w:cs="Arial"/>
          <w:sz w:val="20"/>
          <w:szCs w:val="20"/>
        </w:rPr>
      </w:pPr>
      <w:r w:rsidRPr="001971B4">
        <w:rPr>
          <w:rFonts w:ascii="Arial" w:hAnsi="Arial" w:cs="Arial"/>
          <w:color w:val="000000"/>
          <w:sz w:val="20"/>
          <w:szCs w:val="20"/>
        </w:rPr>
        <w:t>El universo de estudio está definido como la población de pacientes que de los diferentes países que conformen el grupo GELL.</w:t>
      </w:r>
      <w:r w:rsidRPr="001971B4">
        <w:rPr>
          <w:rFonts w:ascii="Arial" w:hAnsi="Arial" w:cs="Arial"/>
          <w:sz w:val="20"/>
          <w:szCs w:val="20"/>
        </w:rPr>
        <w:t xml:space="preserve"> No se requiere cálculo de muestra, se incluirán todos los pacientes que cumplan con los criterios.</w:t>
      </w:r>
    </w:p>
    <w:p w14:paraId="042A9A54" w14:textId="63E011BA" w:rsidR="001971B4" w:rsidRDefault="001971B4" w:rsidP="000C3111">
      <w:pPr>
        <w:autoSpaceDE w:val="0"/>
        <w:autoSpaceDN w:val="0"/>
        <w:adjustRightInd w:val="0"/>
        <w:jc w:val="both"/>
        <w:rPr>
          <w:rFonts w:ascii="Arial" w:hAnsi="Arial" w:cs="Arial"/>
          <w:color w:val="000000"/>
          <w:sz w:val="20"/>
          <w:szCs w:val="20"/>
        </w:rPr>
      </w:pPr>
    </w:p>
    <w:p w14:paraId="07DC8097" w14:textId="092E02E0" w:rsidR="001971B4" w:rsidRPr="003A328F" w:rsidRDefault="001971B4" w:rsidP="001971B4">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 xml:space="preserve">3.3       </w:t>
      </w:r>
      <w:r w:rsidRPr="003A328F">
        <w:rPr>
          <w:rFonts w:ascii="Arial" w:hAnsi="Arial" w:cs="Arial"/>
          <w:b/>
          <w:bCs/>
          <w:color w:val="000000"/>
          <w:sz w:val="20"/>
          <w:szCs w:val="20"/>
        </w:rPr>
        <w:t xml:space="preserve"> Criterios de </w:t>
      </w:r>
      <w:r>
        <w:rPr>
          <w:rFonts w:ascii="Arial" w:hAnsi="Arial" w:cs="Arial"/>
          <w:b/>
          <w:bCs/>
          <w:color w:val="000000"/>
          <w:sz w:val="20"/>
          <w:szCs w:val="20"/>
        </w:rPr>
        <w:t>selección.</w:t>
      </w:r>
      <w:r w:rsidRPr="003A328F">
        <w:rPr>
          <w:rFonts w:ascii="Arial" w:hAnsi="Arial" w:cs="Arial"/>
          <w:b/>
          <w:bCs/>
          <w:color w:val="000000"/>
          <w:sz w:val="20"/>
          <w:szCs w:val="20"/>
        </w:rPr>
        <w:t xml:space="preserve"> </w:t>
      </w:r>
    </w:p>
    <w:p w14:paraId="2A97A31B" w14:textId="77777777" w:rsidR="001971B4" w:rsidRPr="003A328F" w:rsidRDefault="001971B4" w:rsidP="001971B4">
      <w:pPr>
        <w:autoSpaceDE w:val="0"/>
        <w:autoSpaceDN w:val="0"/>
        <w:adjustRightInd w:val="0"/>
        <w:jc w:val="both"/>
        <w:rPr>
          <w:rFonts w:ascii="Arial" w:hAnsi="Arial" w:cs="Arial"/>
          <w:b/>
          <w:bCs/>
          <w:color w:val="000000"/>
          <w:sz w:val="20"/>
          <w:szCs w:val="20"/>
        </w:rPr>
      </w:pPr>
    </w:p>
    <w:p w14:paraId="1659129C" w14:textId="40259A61" w:rsidR="001971B4" w:rsidRPr="003A328F" w:rsidRDefault="001971B4" w:rsidP="001971B4">
      <w:pPr>
        <w:autoSpaceDE w:val="0"/>
        <w:autoSpaceDN w:val="0"/>
        <w:adjustRightInd w:val="0"/>
        <w:ind w:left="708"/>
        <w:jc w:val="both"/>
        <w:rPr>
          <w:rFonts w:ascii="Arial" w:hAnsi="Arial" w:cs="Arial"/>
          <w:b/>
          <w:bCs/>
          <w:color w:val="000000"/>
          <w:sz w:val="20"/>
          <w:szCs w:val="20"/>
        </w:rPr>
      </w:pPr>
      <w:r>
        <w:rPr>
          <w:rFonts w:ascii="Arial" w:hAnsi="Arial" w:cs="Arial"/>
          <w:b/>
          <w:bCs/>
          <w:color w:val="000000"/>
          <w:sz w:val="20"/>
          <w:szCs w:val="20"/>
        </w:rPr>
        <w:t>3.3.1</w:t>
      </w:r>
      <w:r w:rsidRPr="003A328F">
        <w:rPr>
          <w:rFonts w:ascii="Arial" w:hAnsi="Arial" w:cs="Arial"/>
          <w:b/>
          <w:bCs/>
          <w:color w:val="000000"/>
          <w:sz w:val="20"/>
          <w:szCs w:val="20"/>
        </w:rPr>
        <w:t xml:space="preserve"> Criterios de inclusión</w:t>
      </w:r>
      <w:r>
        <w:rPr>
          <w:rFonts w:ascii="Arial" w:hAnsi="Arial" w:cs="Arial"/>
          <w:b/>
          <w:bCs/>
          <w:color w:val="000000"/>
          <w:sz w:val="20"/>
          <w:szCs w:val="20"/>
        </w:rPr>
        <w:t>.</w:t>
      </w:r>
    </w:p>
    <w:p w14:paraId="722BAF4E" w14:textId="77777777" w:rsidR="001971B4" w:rsidRPr="003A328F" w:rsidRDefault="001971B4" w:rsidP="001971B4">
      <w:pPr>
        <w:autoSpaceDE w:val="0"/>
        <w:autoSpaceDN w:val="0"/>
        <w:adjustRightInd w:val="0"/>
        <w:jc w:val="both"/>
        <w:rPr>
          <w:rFonts w:ascii="Arial" w:hAnsi="Arial" w:cs="Arial"/>
          <w:color w:val="000000"/>
          <w:sz w:val="20"/>
          <w:szCs w:val="20"/>
        </w:rPr>
      </w:pPr>
    </w:p>
    <w:p w14:paraId="10F12BDD" w14:textId="087064EC" w:rsidR="001971B4" w:rsidRPr="001971B4" w:rsidRDefault="001971B4" w:rsidP="001971B4">
      <w:pPr>
        <w:pStyle w:val="Prrafodelista"/>
        <w:numPr>
          <w:ilvl w:val="0"/>
          <w:numId w:val="7"/>
        </w:numPr>
        <w:suppressAutoHyphens/>
        <w:autoSpaceDE w:val="0"/>
        <w:autoSpaceDN w:val="0"/>
        <w:adjustRightInd w:val="0"/>
        <w:ind w:left="1068"/>
        <w:jc w:val="both"/>
        <w:rPr>
          <w:rFonts w:ascii="Arial" w:hAnsi="Arial" w:cs="Arial"/>
          <w:sz w:val="20"/>
          <w:szCs w:val="20"/>
        </w:rPr>
      </w:pPr>
      <w:r w:rsidRPr="001971B4">
        <w:rPr>
          <w:rFonts w:ascii="Arial" w:hAnsi="Arial" w:cs="Arial"/>
          <w:sz w:val="20"/>
          <w:szCs w:val="20"/>
        </w:rPr>
        <w:t xml:space="preserve">Pacientes mayores de 18 años con diagnóstico histopatológico confirmado de </w:t>
      </w:r>
      <w:r w:rsidRPr="001971B4">
        <w:rPr>
          <w:rFonts w:ascii="Arial" w:hAnsi="Arial" w:cs="Arial"/>
          <w:iCs/>
          <w:sz w:val="20"/>
          <w:szCs w:val="20"/>
        </w:rPr>
        <w:t xml:space="preserve">ATLL </w:t>
      </w:r>
      <w:r w:rsidRPr="001971B4">
        <w:rPr>
          <w:rFonts w:ascii="Arial" w:hAnsi="Arial" w:cs="Arial"/>
          <w:sz w:val="20"/>
          <w:szCs w:val="20"/>
        </w:rPr>
        <w:t>durante el periodo 2010 al 201</w:t>
      </w:r>
      <w:r>
        <w:rPr>
          <w:rFonts w:ascii="Arial" w:hAnsi="Arial" w:cs="Arial"/>
          <w:sz w:val="20"/>
          <w:szCs w:val="20"/>
        </w:rPr>
        <w:t>9.</w:t>
      </w:r>
    </w:p>
    <w:p w14:paraId="392DA0A6" w14:textId="77777777" w:rsidR="001971B4" w:rsidRPr="003A328F" w:rsidRDefault="001971B4" w:rsidP="001971B4">
      <w:pPr>
        <w:autoSpaceDE w:val="0"/>
        <w:autoSpaceDN w:val="0"/>
        <w:adjustRightInd w:val="0"/>
        <w:jc w:val="both"/>
        <w:rPr>
          <w:rFonts w:ascii="Arial" w:hAnsi="Arial" w:cs="Arial"/>
          <w:color w:val="000000"/>
          <w:sz w:val="20"/>
          <w:szCs w:val="20"/>
        </w:rPr>
      </w:pPr>
    </w:p>
    <w:p w14:paraId="2678C71D" w14:textId="36833189" w:rsidR="001971B4" w:rsidRDefault="001971B4" w:rsidP="001971B4">
      <w:pPr>
        <w:autoSpaceDE w:val="0"/>
        <w:autoSpaceDN w:val="0"/>
        <w:adjustRightInd w:val="0"/>
        <w:ind w:firstLine="708"/>
        <w:jc w:val="both"/>
        <w:rPr>
          <w:rFonts w:ascii="Arial" w:hAnsi="Arial" w:cs="Arial"/>
          <w:b/>
          <w:bCs/>
          <w:color w:val="000000"/>
          <w:sz w:val="20"/>
          <w:szCs w:val="20"/>
        </w:rPr>
      </w:pPr>
      <w:r>
        <w:rPr>
          <w:rFonts w:ascii="Arial" w:hAnsi="Arial" w:cs="Arial"/>
          <w:b/>
          <w:bCs/>
          <w:color w:val="000000"/>
          <w:sz w:val="20"/>
          <w:szCs w:val="20"/>
        </w:rPr>
        <w:t>3.3.2</w:t>
      </w:r>
      <w:r w:rsidRPr="003A328F">
        <w:rPr>
          <w:rFonts w:ascii="Arial" w:hAnsi="Arial" w:cs="Arial"/>
          <w:b/>
          <w:bCs/>
          <w:color w:val="000000"/>
          <w:sz w:val="20"/>
          <w:szCs w:val="20"/>
        </w:rPr>
        <w:t xml:space="preserve"> Criterios de exclusión</w:t>
      </w:r>
      <w:r>
        <w:rPr>
          <w:rFonts w:ascii="Arial" w:hAnsi="Arial" w:cs="Arial"/>
          <w:b/>
          <w:bCs/>
          <w:color w:val="000000"/>
          <w:sz w:val="20"/>
          <w:szCs w:val="20"/>
        </w:rPr>
        <w:t>.</w:t>
      </w:r>
    </w:p>
    <w:p w14:paraId="5ADC649C" w14:textId="77777777" w:rsidR="001971B4" w:rsidRDefault="001971B4" w:rsidP="001971B4">
      <w:pPr>
        <w:pStyle w:val="Prrafodelista"/>
        <w:suppressAutoHyphens/>
        <w:autoSpaceDE w:val="0"/>
        <w:autoSpaceDN w:val="0"/>
        <w:adjustRightInd w:val="0"/>
        <w:ind w:left="1068"/>
        <w:jc w:val="both"/>
        <w:rPr>
          <w:rFonts w:ascii="Arial" w:hAnsi="Arial" w:cs="Arial"/>
          <w:iCs/>
          <w:sz w:val="20"/>
          <w:szCs w:val="20"/>
        </w:rPr>
      </w:pPr>
    </w:p>
    <w:p w14:paraId="24ACE409" w14:textId="2349B677" w:rsidR="001971B4" w:rsidRDefault="001971B4" w:rsidP="001971B4">
      <w:pPr>
        <w:pStyle w:val="Prrafodelista"/>
        <w:numPr>
          <w:ilvl w:val="0"/>
          <w:numId w:val="6"/>
        </w:numPr>
        <w:suppressAutoHyphens/>
        <w:autoSpaceDE w:val="0"/>
        <w:autoSpaceDN w:val="0"/>
        <w:adjustRightInd w:val="0"/>
        <w:ind w:left="1068"/>
        <w:jc w:val="both"/>
        <w:rPr>
          <w:rFonts w:ascii="Arial" w:hAnsi="Arial" w:cs="Arial"/>
          <w:iCs/>
          <w:sz w:val="20"/>
          <w:szCs w:val="20"/>
        </w:rPr>
      </w:pPr>
      <w:r w:rsidRPr="001971B4">
        <w:rPr>
          <w:rFonts w:ascii="Arial" w:hAnsi="Arial" w:cs="Arial"/>
          <w:iCs/>
          <w:sz w:val="20"/>
          <w:szCs w:val="20"/>
        </w:rPr>
        <w:t xml:space="preserve">Pacientes cuya </w:t>
      </w:r>
      <w:r>
        <w:rPr>
          <w:rFonts w:ascii="Arial" w:hAnsi="Arial" w:cs="Arial"/>
          <w:iCs/>
          <w:sz w:val="20"/>
          <w:szCs w:val="20"/>
        </w:rPr>
        <w:t>i</w:t>
      </w:r>
      <w:r w:rsidRPr="001971B4">
        <w:rPr>
          <w:rFonts w:ascii="Arial" w:hAnsi="Arial" w:cs="Arial"/>
          <w:iCs/>
          <w:sz w:val="20"/>
          <w:szCs w:val="20"/>
        </w:rPr>
        <w:t>nformación se encuentre incompleta en la historia clínica.</w:t>
      </w:r>
    </w:p>
    <w:p w14:paraId="6A360FA1" w14:textId="77777777" w:rsidR="00D70806" w:rsidRPr="00D70806" w:rsidRDefault="00D70806" w:rsidP="00D70806">
      <w:pPr>
        <w:suppressAutoHyphens/>
        <w:autoSpaceDE w:val="0"/>
        <w:autoSpaceDN w:val="0"/>
        <w:adjustRightInd w:val="0"/>
        <w:jc w:val="both"/>
        <w:rPr>
          <w:rFonts w:ascii="Arial" w:hAnsi="Arial" w:cs="Arial"/>
          <w:iCs/>
          <w:sz w:val="20"/>
          <w:szCs w:val="20"/>
        </w:rPr>
      </w:pPr>
    </w:p>
    <w:p w14:paraId="4104D7E5" w14:textId="77777777" w:rsidR="00C355BF" w:rsidRDefault="00C355BF" w:rsidP="000C3111">
      <w:pPr>
        <w:autoSpaceDE w:val="0"/>
        <w:autoSpaceDN w:val="0"/>
        <w:adjustRightInd w:val="0"/>
        <w:jc w:val="both"/>
        <w:rPr>
          <w:rFonts w:ascii="Arial" w:hAnsi="Arial" w:cs="Arial"/>
          <w:b/>
          <w:bCs/>
          <w:color w:val="000000"/>
          <w:sz w:val="20"/>
          <w:szCs w:val="20"/>
        </w:rPr>
      </w:pPr>
    </w:p>
    <w:p w14:paraId="1AF39542" w14:textId="77777777" w:rsidR="00C355BF" w:rsidRPr="00131250" w:rsidRDefault="00C355BF" w:rsidP="00C355BF">
      <w:pPr>
        <w:autoSpaceDE w:val="0"/>
        <w:autoSpaceDN w:val="0"/>
        <w:adjustRightInd w:val="0"/>
        <w:jc w:val="both"/>
        <w:rPr>
          <w:rFonts w:ascii="Arial" w:hAnsi="Arial" w:cs="Arial"/>
          <w:b/>
          <w:bCs/>
          <w:color w:val="000000"/>
          <w:sz w:val="20"/>
          <w:szCs w:val="20"/>
        </w:rPr>
      </w:pPr>
      <w:r w:rsidRPr="00131250">
        <w:rPr>
          <w:rFonts w:ascii="Arial" w:hAnsi="Arial" w:cs="Arial"/>
          <w:b/>
          <w:bCs/>
          <w:color w:val="000000"/>
          <w:sz w:val="20"/>
          <w:szCs w:val="20"/>
        </w:rPr>
        <w:t>3.4.</w:t>
      </w:r>
      <w:r w:rsidRPr="00131250">
        <w:rPr>
          <w:rFonts w:ascii="Arial" w:hAnsi="Arial" w:cs="Arial"/>
          <w:b/>
          <w:bCs/>
          <w:color w:val="000000"/>
          <w:sz w:val="20"/>
          <w:szCs w:val="20"/>
        </w:rPr>
        <w:tab/>
        <w:t>Definición operacional de variables.</w:t>
      </w:r>
    </w:p>
    <w:p w14:paraId="0DB1B263" w14:textId="77777777" w:rsidR="00C355BF" w:rsidRDefault="00C355BF" w:rsidP="00C355BF">
      <w:pPr>
        <w:autoSpaceDE w:val="0"/>
        <w:autoSpaceDN w:val="0"/>
        <w:adjustRightInd w:val="0"/>
        <w:jc w:val="both"/>
        <w:rPr>
          <w:rFonts w:ascii="Arial" w:hAnsi="Arial" w:cs="Arial"/>
          <w:color w:val="000000"/>
          <w:sz w:val="20"/>
          <w:szCs w:val="20"/>
        </w:rPr>
      </w:pPr>
    </w:p>
    <w:p w14:paraId="75153649" w14:textId="77777777" w:rsidR="00C355BF" w:rsidRDefault="00C355BF" w:rsidP="00C355BF">
      <w:pPr>
        <w:autoSpaceDE w:val="0"/>
        <w:autoSpaceDN w:val="0"/>
        <w:adjustRightInd w:val="0"/>
        <w:jc w:val="both"/>
        <w:rPr>
          <w:rFonts w:ascii="Arial" w:hAnsi="Arial" w:cs="Arial"/>
          <w:color w:val="000000"/>
          <w:sz w:val="20"/>
          <w:szCs w:val="20"/>
        </w:rPr>
      </w:pPr>
    </w:p>
    <w:p w14:paraId="00B4E775" w14:textId="77777777" w:rsidR="00C355BF" w:rsidRDefault="00C355BF" w:rsidP="00C355BF">
      <w:pPr>
        <w:jc w:val="center"/>
        <w:rPr>
          <w:rFonts w:ascii="Arial" w:hAnsi="Arial" w:cs="Arial"/>
          <w:b/>
          <w:bCs/>
        </w:rPr>
        <w:sectPr w:rsidR="00C355BF" w:rsidSect="00D70806">
          <w:headerReference w:type="default" r:id="rId8"/>
          <w:footerReference w:type="even" r:id="rId9"/>
          <w:footerReference w:type="default" r:id="rId10"/>
          <w:pgSz w:w="11906" w:h="16838" w:code="9"/>
          <w:pgMar w:top="1417" w:right="1701" w:bottom="1417" w:left="1701" w:header="709" w:footer="709" w:gutter="0"/>
          <w:pgNumType w:start="0"/>
          <w:cols w:space="708"/>
          <w:titlePg/>
          <w:docGrid w:linePitch="360"/>
        </w:sectPr>
      </w:pPr>
    </w:p>
    <w:tbl>
      <w:tblPr>
        <w:tblStyle w:val="Tablaconlista3"/>
        <w:tblW w:w="12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5"/>
        <w:gridCol w:w="2169"/>
        <w:gridCol w:w="1542"/>
        <w:gridCol w:w="1701"/>
        <w:gridCol w:w="2277"/>
        <w:gridCol w:w="2243"/>
      </w:tblGrid>
      <w:tr w:rsidR="00C355BF" w:rsidRPr="00131250" w14:paraId="00F9C57A" w14:textId="77777777" w:rsidTr="007E60D0">
        <w:trPr>
          <w:cnfStyle w:val="100000000000" w:firstRow="1" w:lastRow="0" w:firstColumn="0" w:lastColumn="0" w:oddVBand="0" w:evenVBand="0" w:oddHBand="0" w:evenHBand="0" w:firstRowFirstColumn="0" w:firstRowLastColumn="0" w:lastRowFirstColumn="0" w:lastRowLastColumn="0"/>
          <w:trHeight w:val="61"/>
          <w:jc w:val="center"/>
        </w:trPr>
        <w:tc>
          <w:tcPr>
            <w:tcW w:w="2085" w:type="dxa"/>
            <w:shd w:val="clear" w:color="auto" w:fill="DEEAF6" w:themeFill="accent1" w:themeFillTint="33"/>
            <w:vAlign w:val="center"/>
          </w:tcPr>
          <w:p w14:paraId="37202A81" w14:textId="77777777" w:rsidR="00C355BF" w:rsidRPr="00131250" w:rsidRDefault="00C355BF" w:rsidP="005339BA">
            <w:pPr>
              <w:jc w:val="center"/>
              <w:rPr>
                <w:rFonts w:ascii="Arial" w:hAnsi="Arial" w:cs="Arial"/>
                <w:b w:val="0"/>
                <w:bCs w:val="0"/>
              </w:rPr>
            </w:pPr>
            <w:r w:rsidRPr="00131250">
              <w:rPr>
                <w:rFonts w:ascii="Arial" w:hAnsi="Arial" w:cs="Arial"/>
                <w:color w:val="auto"/>
              </w:rPr>
              <w:lastRenderedPageBreak/>
              <w:t>Variable</w:t>
            </w:r>
          </w:p>
        </w:tc>
        <w:tc>
          <w:tcPr>
            <w:tcW w:w="2169" w:type="dxa"/>
            <w:shd w:val="clear" w:color="auto" w:fill="DEEAF6" w:themeFill="accent1" w:themeFillTint="33"/>
            <w:vAlign w:val="center"/>
          </w:tcPr>
          <w:p w14:paraId="680B56C7" w14:textId="77777777" w:rsidR="00C355BF" w:rsidRPr="00131250" w:rsidRDefault="00C355BF" w:rsidP="005339BA">
            <w:pPr>
              <w:jc w:val="center"/>
              <w:rPr>
                <w:rFonts w:ascii="Arial" w:hAnsi="Arial" w:cs="Arial"/>
                <w:b w:val="0"/>
                <w:bCs w:val="0"/>
                <w:color w:val="000000" w:themeColor="text1"/>
              </w:rPr>
            </w:pPr>
            <w:r w:rsidRPr="00131250">
              <w:rPr>
                <w:rFonts w:ascii="Arial" w:hAnsi="Arial" w:cs="Arial"/>
                <w:color w:val="000000" w:themeColor="text1"/>
              </w:rPr>
              <w:t>Definición</w:t>
            </w:r>
          </w:p>
        </w:tc>
        <w:tc>
          <w:tcPr>
            <w:tcW w:w="1542" w:type="dxa"/>
            <w:shd w:val="clear" w:color="auto" w:fill="DEEAF6" w:themeFill="accent1" w:themeFillTint="33"/>
            <w:vAlign w:val="center"/>
          </w:tcPr>
          <w:p w14:paraId="160CF347" w14:textId="77777777" w:rsidR="00C355BF" w:rsidRPr="00131250" w:rsidRDefault="00C355BF" w:rsidP="005339BA">
            <w:pPr>
              <w:jc w:val="center"/>
              <w:rPr>
                <w:rFonts w:ascii="Arial" w:hAnsi="Arial" w:cs="Arial"/>
                <w:b w:val="0"/>
                <w:bCs w:val="0"/>
              </w:rPr>
            </w:pPr>
            <w:r w:rsidRPr="00131250">
              <w:rPr>
                <w:rFonts w:ascii="Arial" w:hAnsi="Arial" w:cs="Arial"/>
                <w:color w:val="auto"/>
              </w:rPr>
              <w:t>Tipo de variable por su naturaleza</w:t>
            </w:r>
          </w:p>
        </w:tc>
        <w:tc>
          <w:tcPr>
            <w:tcW w:w="1701" w:type="dxa"/>
            <w:shd w:val="clear" w:color="auto" w:fill="DEEAF6" w:themeFill="accent1" w:themeFillTint="33"/>
            <w:vAlign w:val="center"/>
          </w:tcPr>
          <w:p w14:paraId="09DD9C40" w14:textId="77777777" w:rsidR="00C355BF" w:rsidRPr="00131250" w:rsidRDefault="00C355BF" w:rsidP="005339BA">
            <w:pPr>
              <w:jc w:val="center"/>
              <w:rPr>
                <w:rFonts w:ascii="Arial" w:hAnsi="Arial" w:cs="Arial"/>
                <w:b w:val="0"/>
                <w:bCs w:val="0"/>
              </w:rPr>
            </w:pPr>
            <w:r w:rsidRPr="00131250">
              <w:rPr>
                <w:rFonts w:ascii="Arial" w:hAnsi="Arial" w:cs="Arial"/>
                <w:color w:val="auto"/>
              </w:rPr>
              <w:t>Escala de medición</w:t>
            </w:r>
          </w:p>
        </w:tc>
        <w:tc>
          <w:tcPr>
            <w:tcW w:w="2277" w:type="dxa"/>
            <w:shd w:val="clear" w:color="auto" w:fill="DEEAF6" w:themeFill="accent1" w:themeFillTint="33"/>
            <w:vAlign w:val="center"/>
          </w:tcPr>
          <w:p w14:paraId="15BFF23C" w14:textId="77777777" w:rsidR="00C355BF" w:rsidRPr="00131250" w:rsidRDefault="00C355BF" w:rsidP="005339BA">
            <w:pPr>
              <w:jc w:val="center"/>
              <w:rPr>
                <w:rFonts w:ascii="Arial" w:hAnsi="Arial" w:cs="Arial"/>
                <w:b w:val="0"/>
                <w:bCs w:val="0"/>
              </w:rPr>
            </w:pPr>
            <w:r w:rsidRPr="00131250">
              <w:rPr>
                <w:rFonts w:ascii="Arial" w:hAnsi="Arial" w:cs="Arial"/>
                <w:color w:val="auto"/>
              </w:rPr>
              <w:t xml:space="preserve">Categorías y sus valores </w:t>
            </w:r>
          </w:p>
        </w:tc>
        <w:tc>
          <w:tcPr>
            <w:tcW w:w="2243" w:type="dxa"/>
            <w:shd w:val="clear" w:color="auto" w:fill="DEEAF6" w:themeFill="accent1" w:themeFillTint="33"/>
            <w:vAlign w:val="center"/>
          </w:tcPr>
          <w:p w14:paraId="7FBC9700" w14:textId="77777777" w:rsidR="00C355BF" w:rsidRPr="00131250" w:rsidRDefault="00C355BF" w:rsidP="005339BA">
            <w:pPr>
              <w:jc w:val="center"/>
              <w:rPr>
                <w:rFonts w:ascii="Arial" w:hAnsi="Arial" w:cs="Arial"/>
                <w:b w:val="0"/>
                <w:bCs w:val="0"/>
              </w:rPr>
            </w:pPr>
            <w:r w:rsidRPr="00131250">
              <w:rPr>
                <w:rFonts w:ascii="Arial" w:hAnsi="Arial" w:cs="Arial"/>
                <w:color w:val="auto"/>
              </w:rPr>
              <w:t>Medio de verificación</w:t>
            </w:r>
          </w:p>
        </w:tc>
      </w:tr>
      <w:tr w:rsidR="00C355BF" w:rsidRPr="00131250" w14:paraId="2CB4FF53" w14:textId="77777777" w:rsidTr="007E60D0">
        <w:trPr>
          <w:trHeight w:val="61"/>
          <w:jc w:val="center"/>
        </w:trPr>
        <w:tc>
          <w:tcPr>
            <w:tcW w:w="2085" w:type="dxa"/>
            <w:vAlign w:val="center"/>
          </w:tcPr>
          <w:p w14:paraId="09199125" w14:textId="77777777" w:rsidR="00C355BF" w:rsidRPr="00131250" w:rsidRDefault="00C355BF" w:rsidP="005339BA">
            <w:pPr>
              <w:jc w:val="center"/>
              <w:rPr>
                <w:rFonts w:ascii="Arial" w:hAnsi="Arial" w:cs="Arial"/>
              </w:rPr>
            </w:pPr>
            <w:r w:rsidRPr="00131250">
              <w:rPr>
                <w:rFonts w:ascii="Arial" w:hAnsi="Arial" w:cs="Arial"/>
              </w:rPr>
              <w:t>Edad</w:t>
            </w:r>
          </w:p>
        </w:tc>
        <w:tc>
          <w:tcPr>
            <w:tcW w:w="2169" w:type="dxa"/>
            <w:vAlign w:val="center"/>
          </w:tcPr>
          <w:p w14:paraId="34E1F848" w14:textId="77777777" w:rsidR="00C355BF" w:rsidRPr="00131250" w:rsidRDefault="00C355BF" w:rsidP="005339BA">
            <w:pPr>
              <w:jc w:val="center"/>
              <w:rPr>
                <w:rFonts w:ascii="Arial" w:hAnsi="Arial" w:cs="Arial"/>
              </w:rPr>
            </w:pPr>
            <w:r w:rsidRPr="00131250">
              <w:rPr>
                <w:rFonts w:ascii="Arial" w:hAnsi="Arial" w:cs="Arial"/>
              </w:rPr>
              <w:t>Tiempo de vida desde su nacimiento al momento del diagnóstico patológico</w:t>
            </w:r>
          </w:p>
        </w:tc>
        <w:tc>
          <w:tcPr>
            <w:tcW w:w="1542" w:type="dxa"/>
            <w:vAlign w:val="center"/>
          </w:tcPr>
          <w:p w14:paraId="5BFEBE34" w14:textId="77777777" w:rsidR="00C355BF" w:rsidRPr="00131250" w:rsidRDefault="00C355BF" w:rsidP="005339BA">
            <w:pPr>
              <w:jc w:val="center"/>
              <w:rPr>
                <w:rFonts w:ascii="Arial" w:hAnsi="Arial" w:cs="Arial"/>
              </w:rPr>
            </w:pPr>
            <w:r w:rsidRPr="00131250">
              <w:rPr>
                <w:rFonts w:ascii="Arial" w:hAnsi="Arial" w:cs="Arial"/>
              </w:rPr>
              <w:t>Cuantitativa</w:t>
            </w:r>
          </w:p>
        </w:tc>
        <w:tc>
          <w:tcPr>
            <w:tcW w:w="1701" w:type="dxa"/>
            <w:vAlign w:val="center"/>
          </w:tcPr>
          <w:p w14:paraId="56D3C37E" w14:textId="77777777" w:rsidR="00C355BF" w:rsidRPr="00131250" w:rsidRDefault="00C355BF" w:rsidP="005339BA">
            <w:pPr>
              <w:jc w:val="center"/>
              <w:rPr>
                <w:rFonts w:ascii="Arial" w:hAnsi="Arial" w:cs="Arial"/>
              </w:rPr>
            </w:pPr>
            <w:r w:rsidRPr="00131250">
              <w:rPr>
                <w:rFonts w:ascii="Arial" w:hAnsi="Arial" w:cs="Arial"/>
              </w:rPr>
              <w:t>Razón</w:t>
            </w:r>
          </w:p>
        </w:tc>
        <w:tc>
          <w:tcPr>
            <w:tcW w:w="2277" w:type="dxa"/>
            <w:vAlign w:val="center"/>
          </w:tcPr>
          <w:p w14:paraId="14FF9ED4" w14:textId="77777777" w:rsidR="00C355BF" w:rsidRPr="00131250" w:rsidRDefault="00C355BF" w:rsidP="005339BA">
            <w:pPr>
              <w:rPr>
                <w:rFonts w:ascii="Arial" w:hAnsi="Arial" w:cs="Arial"/>
              </w:rPr>
            </w:pPr>
            <w:r w:rsidRPr="00131250">
              <w:rPr>
                <w:rFonts w:ascii="Arial" w:hAnsi="Arial" w:cs="Arial"/>
              </w:rPr>
              <w:t>-   18 - 100</w:t>
            </w:r>
          </w:p>
        </w:tc>
        <w:tc>
          <w:tcPr>
            <w:tcW w:w="2243" w:type="dxa"/>
            <w:vAlign w:val="center"/>
          </w:tcPr>
          <w:p w14:paraId="2D7CEDA1" w14:textId="77777777" w:rsidR="00C355BF" w:rsidRPr="00131250" w:rsidRDefault="00C355BF" w:rsidP="005339BA">
            <w:pPr>
              <w:jc w:val="center"/>
              <w:rPr>
                <w:rFonts w:ascii="Arial" w:hAnsi="Arial" w:cs="Arial"/>
              </w:rPr>
            </w:pPr>
            <w:r w:rsidRPr="00131250">
              <w:rPr>
                <w:rFonts w:ascii="Arial" w:hAnsi="Arial" w:cs="Arial"/>
              </w:rPr>
              <w:t>Reporte en la historia clínica</w:t>
            </w:r>
          </w:p>
        </w:tc>
      </w:tr>
      <w:tr w:rsidR="00C355BF" w:rsidRPr="00131250" w14:paraId="4F8B203B" w14:textId="77777777" w:rsidTr="007E60D0">
        <w:trPr>
          <w:trHeight w:val="61"/>
          <w:jc w:val="center"/>
        </w:trPr>
        <w:tc>
          <w:tcPr>
            <w:tcW w:w="2085" w:type="dxa"/>
            <w:vAlign w:val="center"/>
          </w:tcPr>
          <w:p w14:paraId="36B3D1B8" w14:textId="77777777" w:rsidR="00C355BF" w:rsidRPr="00131250" w:rsidRDefault="00C355BF" w:rsidP="005339BA">
            <w:pPr>
              <w:jc w:val="center"/>
              <w:rPr>
                <w:rFonts w:ascii="Arial" w:hAnsi="Arial" w:cs="Arial"/>
              </w:rPr>
            </w:pPr>
            <w:r w:rsidRPr="00131250">
              <w:rPr>
                <w:rFonts w:ascii="Arial" w:hAnsi="Arial" w:cs="Arial"/>
              </w:rPr>
              <w:t>Sexo</w:t>
            </w:r>
          </w:p>
        </w:tc>
        <w:tc>
          <w:tcPr>
            <w:tcW w:w="2169" w:type="dxa"/>
            <w:vAlign w:val="center"/>
          </w:tcPr>
          <w:p w14:paraId="2B814D05" w14:textId="77777777" w:rsidR="00C355BF" w:rsidRPr="00131250" w:rsidRDefault="00C355BF" w:rsidP="005339BA">
            <w:pPr>
              <w:jc w:val="center"/>
              <w:rPr>
                <w:rFonts w:ascii="Arial" w:hAnsi="Arial" w:cs="Arial"/>
              </w:rPr>
            </w:pPr>
            <w:r w:rsidRPr="00131250">
              <w:rPr>
                <w:rFonts w:ascii="Arial" w:hAnsi="Arial" w:cs="Arial"/>
              </w:rPr>
              <w:t>Condición biológica que distingue entre masculino o femenino</w:t>
            </w:r>
          </w:p>
        </w:tc>
        <w:tc>
          <w:tcPr>
            <w:tcW w:w="1542" w:type="dxa"/>
            <w:vAlign w:val="center"/>
          </w:tcPr>
          <w:p w14:paraId="1A74961B" w14:textId="77777777" w:rsidR="00C355BF" w:rsidRPr="00131250" w:rsidRDefault="00C355BF" w:rsidP="005339BA">
            <w:pPr>
              <w:jc w:val="center"/>
              <w:rPr>
                <w:rFonts w:ascii="Arial" w:hAnsi="Arial" w:cs="Arial"/>
              </w:rPr>
            </w:pPr>
            <w:r w:rsidRPr="00131250">
              <w:rPr>
                <w:rFonts w:ascii="Arial" w:hAnsi="Arial" w:cs="Arial"/>
              </w:rPr>
              <w:t>Cualitativa Dicotómica</w:t>
            </w:r>
          </w:p>
        </w:tc>
        <w:tc>
          <w:tcPr>
            <w:tcW w:w="1701" w:type="dxa"/>
            <w:vAlign w:val="center"/>
          </w:tcPr>
          <w:p w14:paraId="05AF42C2" w14:textId="77777777" w:rsidR="00C355BF" w:rsidRPr="00131250" w:rsidRDefault="00C355BF" w:rsidP="005339BA">
            <w:pPr>
              <w:jc w:val="center"/>
              <w:rPr>
                <w:rFonts w:ascii="Arial" w:hAnsi="Arial" w:cs="Arial"/>
              </w:rPr>
            </w:pPr>
            <w:r w:rsidRPr="00131250">
              <w:rPr>
                <w:rFonts w:ascii="Arial" w:hAnsi="Arial" w:cs="Arial"/>
              </w:rPr>
              <w:t>Nominal</w:t>
            </w:r>
          </w:p>
        </w:tc>
        <w:tc>
          <w:tcPr>
            <w:tcW w:w="2277" w:type="dxa"/>
            <w:vAlign w:val="center"/>
          </w:tcPr>
          <w:p w14:paraId="2FA0C1C0" w14:textId="0789BCFB" w:rsidR="00C355BF" w:rsidRPr="00F639AF" w:rsidRDefault="00C355BF" w:rsidP="00F639AF">
            <w:pPr>
              <w:rPr>
                <w:rFonts w:cs="Arial"/>
              </w:rPr>
            </w:pPr>
          </w:p>
          <w:p w14:paraId="7F201DAD" w14:textId="77777777" w:rsidR="00C355BF" w:rsidRDefault="00C355BF" w:rsidP="00C355BF">
            <w:pPr>
              <w:pStyle w:val="Prrafodelista"/>
              <w:numPr>
                <w:ilvl w:val="0"/>
                <w:numId w:val="8"/>
              </w:numPr>
              <w:ind w:left="258" w:hanging="293"/>
              <w:rPr>
                <w:rFonts w:cs="Arial"/>
              </w:rPr>
            </w:pPr>
            <w:r w:rsidRPr="00131250">
              <w:rPr>
                <w:rFonts w:cs="Arial"/>
              </w:rPr>
              <w:t>Fem</w:t>
            </w:r>
            <w:r w:rsidR="00F639AF">
              <w:rPr>
                <w:rFonts w:cs="Arial"/>
              </w:rPr>
              <w:t>enino: 0</w:t>
            </w:r>
          </w:p>
          <w:p w14:paraId="4535C235" w14:textId="660C78F8" w:rsidR="00F639AF" w:rsidRPr="00131250" w:rsidRDefault="00F639AF" w:rsidP="00C355BF">
            <w:pPr>
              <w:pStyle w:val="Prrafodelista"/>
              <w:numPr>
                <w:ilvl w:val="0"/>
                <w:numId w:val="8"/>
              </w:numPr>
              <w:ind w:left="258" w:hanging="293"/>
              <w:rPr>
                <w:rFonts w:cs="Arial"/>
              </w:rPr>
            </w:pPr>
            <w:r>
              <w:rPr>
                <w:rFonts w:cs="Arial"/>
              </w:rPr>
              <w:t>Masculino:1</w:t>
            </w:r>
          </w:p>
        </w:tc>
        <w:tc>
          <w:tcPr>
            <w:tcW w:w="2243" w:type="dxa"/>
            <w:vAlign w:val="center"/>
          </w:tcPr>
          <w:p w14:paraId="3A6854D4" w14:textId="77777777" w:rsidR="00C355BF" w:rsidRPr="00131250" w:rsidRDefault="00C355BF" w:rsidP="005339BA">
            <w:pPr>
              <w:jc w:val="center"/>
              <w:rPr>
                <w:rFonts w:ascii="Arial" w:hAnsi="Arial" w:cs="Arial"/>
              </w:rPr>
            </w:pPr>
            <w:r w:rsidRPr="00131250">
              <w:rPr>
                <w:rFonts w:ascii="Arial" w:hAnsi="Arial" w:cs="Arial"/>
              </w:rPr>
              <w:t>Reporte en la historia clínica</w:t>
            </w:r>
          </w:p>
        </w:tc>
      </w:tr>
      <w:tr w:rsidR="00C355BF" w:rsidRPr="00131250" w14:paraId="786E23D0" w14:textId="77777777" w:rsidTr="007E60D0">
        <w:trPr>
          <w:trHeight w:val="61"/>
          <w:jc w:val="center"/>
        </w:trPr>
        <w:tc>
          <w:tcPr>
            <w:tcW w:w="2085" w:type="dxa"/>
            <w:vAlign w:val="center"/>
          </w:tcPr>
          <w:p w14:paraId="276061C2" w14:textId="0E1F6904" w:rsidR="00C355BF" w:rsidRPr="00131250" w:rsidRDefault="00C355BF" w:rsidP="005339BA">
            <w:pPr>
              <w:jc w:val="center"/>
              <w:rPr>
                <w:rFonts w:ascii="Arial" w:hAnsi="Arial" w:cs="Arial"/>
              </w:rPr>
            </w:pPr>
            <w:r w:rsidRPr="00131250">
              <w:rPr>
                <w:rFonts w:ascii="Arial" w:hAnsi="Arial" w:cs="Arial"/>
              </w:rPr>
              <w:t>Estado basal (ECOG)</w:t>
            </w:r>
          </w:p>
        </w:tc>
        <w:tc>
          <w:tcPr>
            <w:tcW w:w="2169" w:type="dxa"/>
            <w:vAlign w:val="center"/>
          </w:tcPr>
          <w:p w14:paraId="37931FA7" w14:textId="77777777" w:rsidR="00C355BF" w:rsidRPr="00131250" w:rsidRDefault="00C355BF" w:rsidP="005339BA">
            <w:pPr>
              <w:jc w:val="center"/>
              <w:rPr>
                <w:rFonts w:ascii="Arial" w:hAnsi="Arial" w:cs="Arial"/>
                <w:color w:val="000000" w:themeColor="text1"/>
              </w:rPr>
            </w:pPr>
            <w:r w:rsidRPr="00131250">
              <w:rPr>
                <w:rFonts w:ascii="Arial" w:hAnsi="Arial" w:cs="Arial"/>
                <w:color w:val="000000" w:themeColor="text1"/>
              </w:rPr>
              <w:t xml:space="preserve">Valoración de las capacidades del paciente en su vida diaria manteniendo al máximo su autonomía según las definiciones dadas por la Eastern </w:t>
            </w:r>
            <w:proofErr w:type="spellStart"/>
            <w:r w:rsidRPr="00131250">
              <w:rPr>
                <w:rFonts w:ascii="Arial" w:hAnsi="Arial" w:cs="Arial"/>
                <w:color w:val="000000" w:themeColor="text1"/>
              </w:rPr>
              <w:t>Cooperative</w:t>
            </w:r>
            <w:proofErr w:type="spellEnd"/>
            <w:r w:rsidRPr="00131250">
              <w:rPr>
                <w:rFonts w:ascii="Arial" w:hAnsi="Arial" w:cs="Arial"/>
                <w:color w:val="000000" w:themeColor="text1"/>
              </w:rPr>
              <w:t xml:space="preserve"> </w:t>
            </w:r>
            <w:proofErr w:type="spellStart"/>
            <w:r w:rsidRPr="00131250">
              <w:rPr>
                <w:rFonts w:ascii="Arial" w:hAnsi="Arial" w:cs="Arial"/>
                <w:color w:val="000000" w:themeColor="text1"/>
              </w:rPr>
              <w:t>Oncology</w:t>
            </w:r>
            <w:proofErr w:type="spellEnd"/>
            <w:r w:rsidRPr="00131250">
              <w:rPr>
                <w:rFonts w:ascii="Arial" w:hAnsi="Arial" w:cs="Arial"/>
                <w:color w:val="000000" w:themeColor="text1"/>
              </w:rPr>
              <w:t xml:space="preserve"> </w:t>
            </w:r>
            <w:proofErr w:type="spellStart"/>
            <w:r w:rsidRPr="00131250">
              <w:rPr>
                <w:rFonts w:ascii="Arial" w:hAnsi="Arial" w:cs="Arial"/>
                <w:color w:val="000000" w:themeColor="text1"/>
              </w:rPr>
              <w:t>Group</w:t>
            </w:r>
            <w:proofErr w:type="spellEnd"/>
            <w:r w:rsidRPr="00131250">
              <w:rPr>
                <w:rFonts w:ascii="Arial" w:hAnsi="Arial" w:cs="Arial"/>
                <w:color w:val="000000" w:themeColor="text1"/>
              </w:rPr>
              <w:t xml:space="preserve"> (ECOG)</w:t>
            </w:r>
          </w:p>
        </w:tc>
        <w:tc>
          <w:tcPr>
            <w:tcW w:w="1542" w:type="dxa"/>
            <w:vAlign w:val="center"/>
          </w:tcPr>
          <w:p w14:paraId="22320AC8" w14:textId="77777777" w:rsidR="00C355BF" w:rsidRPr="00131250" w:rsidRDefault="00C355BF" w:rsidP="005339BA">
            <w:pPr>
              <w:jc w:val="center"/>
              <w:rPr>
                <w:rFonts w:ascii="Arial" w:hAnsi="Arial" w:cs="Arial"/>
              </w:rPr>
            </w:pPr>
            <w:r w:rsidRPr="00131250">
              <w:rPr>
                <w:rFonts w:ascii="Arial" w:hAnsi="Arial" w:cs="Arial"/>
              </w:rPr>
              <w:t>Cualitativa</w:t>
            </w:r>
          </w:p>
        </w:tc>
        <w:tc>
          <w:tcPr>
            <w:tcW w:w="1701" w:type="dxa"/>
            <w:vAlign w:val="center"/>
          </w:tcPr>
          <w:p w14:paraId="74D46E93" w14:textId="77777777" w:rsidR="00C355BF" w:rsidRPr="00131250" w:rsidRDefault="00C355BF" w:rsidP="005339BA">
            <w:pPr>
              <w:jc w:val="center"/>
              <w:rPr>
                <w:rFonts w:ascii="Arial" w:hAnsi="Arial" w:cs="Arial"/>
              </w:rPr>
            </w:pPr>
            <w:r w:rsidRPr="00131250">
              <w:rPr>
                <w:rFonts w:ascii="Arial" w:hAnsi="Arial" w:cs="Arial"/>
              </w:rPr>
              <w:t>Ordinal</w:t>
            </w:r>
          </w:p>
        </w:tc>
        <w:tc>
          <w:tcPr>
            <w:tcW w:w="2277" w:type="dxa"/>
            <w:vAlign w:val="center"/>
          </w:tcPr>
          <w:p w14:paraId="14A2E807" w14:textId="77777777" w:rsidR="00C355BF" w:rsidRPr="00131250" w:rsidRDefault="00C355BF" w:rsidP="00C355BF">
            <w:pPr>
              <w:pStyle w:val="Prrafodelista"/>
              <w:numPr>
                <w:ilvl w:val="0"/>
                <w:numId w:val="8"/>
              </w:numPr>
              <w:ind w:left="205" w:hanging="205"/>
              <w:rPr>
                <w:rFonts w:cs="Arial"/>
              </w:rPr>
            </w:pPr>
            <w:r w:rsidRPr="00131250">
              <w:rPr>
                <w:rFonts w:cs="Arial"/>
              </w:rPr>
              <w:t xml:space="preserve"> ECOG 0:0</w:t>
            </w:r>
          </w:p>
          <w:p w14:paraId="48AC1A4D" w14:textId="77777777" w:rsidR="00C355BF" w:rsidRPr="00131250" w:rsidRDefault="00C355BF" w:rsidP="00C355BF">
            <w:pPr>
              <w:pStyle w:val="Prrafodelista"/>
              <w:numPr>
                <w:ilvl w:val="0"/>
                <w:numId w:val="8"/>
              </w:numPr>
              <w:ind w:left="205" w:hanging="205"/>
              <w:rPr>
                <w:rFonts w:cs="Arial"/>
              </w:rPr>
            </w:pPr>
            <w:r w:rsidRPr="00131250">
              <w:rPr>
                <w:rFonts w:cs="Arial"/>
              </w:rPr>
              <w:t xml:space="preserve"> ECOG 1:1</w:t>
            </w:r>
          </w:p>
          <w:p w14:paraId="0D79D9F0" w14:textId="7BDC7BF8" w:rsidR="00C355BF" w:rsidRPr="00131250" w:rsidRDefault="00F639AF" w:rsidP="00C355BF">
            <w:pPr>
              <w:pStyle w:val="Prrafodelista"/>
              <w:numPr>
                <w:ilvl w:val="0"/>
                <w:numId w:val="8"/>
              </w:numPr>
              <w:ind w:left="205" w:hanging="205"/>
              <w:rPr>
                <w:rFonts w:cs="Arial"/>
              </w:rPr>
            </w:pPr>
            <w:r>
              <w:rPr>
                <w:rFonts w:cs="Arial"/>
              </w:rPr>
              <w:t xml:space="preserve"> ECOG 2 -</w:t>
            </w:r>
            <w:r w:rsidR="00C355BF" w:rsidRPr="00131250">
              <w:rPr>
                <w:rFonts w:cs="Arial"/>
              </w:rPr>
              <w:t>4 :2</w:t>
            </w:r>
          </w:p>
          <w:p w14:paraId="16AA7720" w14:textId="77777777" w:rsidR="00C355BF" w:rsidRPr="00131250" w:rsidRDefault="00C355BF" w:rsidP="005339BA">
            <w:pPr>
              <w:rPr>
                <w:rFonts w:ascii="Arial" w:hAnsi="Arial" w:cs="Arial"/>
              </w:rPr>
            </w:pPr>
          </w:p>
        </w:tc>
        <w:tc>
          <w:tcPr>
            <w:tcW w:w="2243" w:type="dxa"/>
            <w:vAlign w:val="center"/>
          </w:tcPr>
          <w:p w14:paraId="24A8BD2D" w14:textId="77777777" w:rsidR="00C355BF" w:rsidRPr="00131250" w:rsidRDefault="00C355BF" w:rsidP="005339BA">
            <w:pPr>
              <w:jc w:val="center"/>
              <w:rPr>
                <w:rFonts w:ascii="Arial" w:hAnsi="Arial" w:cs="Arial"/>
              </w:rPr>
            </w:pPr>
            <w:r w:rsidRPr="00131250">
              <w:rPr>
                <w:rFonts w:ascii="Arial" w:hAnsi="Arial" w:cs="Arial"/>
              </w:rPr>
              <w:t>Reporte en la historia clínica de datos clínicos</w:t>
            </w:r>
          </w:p>
        </w:tc>
      </w:tr>
      <w:tr w:rsidR="00C355BF" w:rsidRPr="00131250" w14:paraId="4965BB80" w14:textId="77777777" w:rsidTr="007E60D0">
        <w:trPr>
          <w:trHeight w:val="61"/>
          <w:jc w:val="center"/>
        </w:trPr>
        <w:tc>
          <w:tcPr>
            <w:tcW w:w="2085" w:type="dxa"/>
            <w:vAlign w:val="center"/>
          </w:tcPr>
          <w:p w14:paraId="3460D2CE" w14:textId="77777777" w:rsidR="00C355BF" w:rsidRPr="00131250" w:rsidRDefault="00C355BF" w:rsidP="005339BA">
            <w:pPr>
              <w:jc w:val="center"/>
              <w:rPr>
                <w:rFonts w:ascii="Arial" w:hAnsi="Arial" w:cs="Arial"/>
              </w:rPr>
            </w:pPr>
            <w:r w:rsidRPr="005D65A2">
              <w:rPr>
                <w:rFonts w:ascii="Arial" w:hAnsi="Arial" w:cs="Arial"/>
              </w:rPr>
              <w:t>Subtipos de ATLL</w:t>
            </w:r>
          </w:p>
        </w:tc>
        <w:tc>
          <w:tcPr>
            <w:tcW w:w="2169" w:type="dxa"/>
            <w:vAlign w:val="center"/>
          </w:tcPr>
          <w:p w14:paraId="01840693" w14:textId="43A241C1" w:rsidR="00C355BF" w:rsidRPr="00131250" w:rsidRDefault="00C355BF" w:rsidP="005339BA">
            <w:pPr>
              <w:jc w:val="center"/>
              <w:rPr>
                <w:rFonts w:ascii="Arial" w:hAnsi="Arial" w:cs="Arial"/>
                <w:color w:val="000000" w:themeColor="text1"/>
              </w:rPr>
            </w:pPr>
            <w:r w:rsidRPr="005D65A2">
              <w:rPr>
                <w:rFonts w:ascii="Arial" w:hAnsi="Arial" w:cs="Arial"/>
              </w:rPr>
              <w:t xml:space="preserve">Clasificación de subtipos de ATLL basados en criterios clínicos y </w:t>
            </w:r>
            <w:proofErr w:type="spellStart"/>
            <w:r w:rsidRPr="005D65A2">
              <w:rPr>
                <w:rFonts w:ascii="Arial" w:hAnsi="Arial" w:cs="Arial"/>
              </w:rPr>
              <w:t>laboratoriales</w:t>
            </w:r>
            <w:proofErr w:type="spellEnd"/>
            <w:r w:rsidRPr="005D65A2">
              <w:rPr>
                <w:rFonts w:ascii="Arial" w:hAnsi="Arial" w:cs="Arial"/>
              </w:rPr>
              <w:t xml:space="preserve"> según los dados por </w:t>
            </w:r>
            <w:proofErr w:type="spellStart"/>
            <w:r w:rsidRPr="005D65A2">
              <w:rPr>
                <w:rFonts w:ascii="Arial" w:hAnsi="Arial" w:cs="Arial"/>
              </w:rPr>
              <w:t>Shimoyama</w:t>
            </w:r>
            <w:proofErr w:type="spellEnd"/>
            <w:r w:rsidRPr="005D65A2">
              <w:rPr>
                <w:rFonts w:ascii="Arial" w:hAnsi="Arial" w:cs="Arial"/>
              </w:rPr>
              <w:t xml:space="preserve"> </w:t>
            </w:r>
            <w:r w:rsidRPr="005D65A2">
              <w:rPr>
                <w:rFonts w:ascii="Arial" w:hAnsi="Arial" w:cs="Arial"/>
              </w:rPr>
              <w:fldChar w:fldCharType="begin" w:fldLock="1"/>
            </w:r>
            <w:r w:rsidR="00F60C8B">
              <w:rPr>
                <w:rFonts w:ascii="Arial" w:hAnsi="Arial" w:cs="Arial"/>
              </w:rPr>
              <w:instrText>ADDIN CSL_CITATION { "citationItems" : [ { "id" : "ITEM-1", "itemData" : { "DOI" : "10.1111/j.1365-2141.1991.tb08051.x", "ISSN" : "0007-1048", "abstract" : "The following diagnostic criteria are proposed to classify four clinical subtypes of HTLV-1 associated adult T-cell leukaemia-lymphoma (ATL): (1) Smouldering type, 5% or more abnormal lymphocytes of T-cell nature in PB, normal lymphocyte level (&lt; 4 ? 109/1), no hypercalcaemia (corrected calcium level &lt; 2\u00b774 mmol/1), lactate dehydrogenase (LDH) value of up to 1\u00b75 ? the normal upper limit, no lymphadenopathy, no involvement of liver, spleen, central nervous system (CNS), bone and gastrointestinal tract, and neither ascites nor pleural effusion. Skin and pulmonary lesion(s) may be present. In case of less than 5% abnormal T-lymphocytes in PB, at least one of histologically-proven skin and pulmonary lesions should be present. (2) Chronic type, absolute lymphocytosis (4 ? 109/1 or more) with T-lymphocytosis more than 3\u00b75 ? 109/1. LDH value up to twice the normal upper limit, no hypercalcaemia, no involvement of CNS, bone and gastrointestinal tract, and neither ascites nor pleural effusion. Lymphadenopathy and involvement of liver, spleen, skin, and lung may be present, and 5% or more abnormal T-lymphocytes are seen in PB in most cases. (3) Lymphoma type, no lymphocytosis, 1% or less abnormal T-lymphocytes, and histologically-proven lymphadenopathy with or without extranodal lesions. (4) Acute type, remaining ATL patients who have usually leukaemic manifestation and tumour lesions, but are not classified as any of the three other types. A total of 818 ATL patients with a mean age of 57 years, newly diagnosed from 1983 to 1987, were analysed by this criteria. There were 448 males and 370 females, and 253 were still alive with a median follow-up time of 13\u00b73 months from diagnosis, while 565 were dead with a median survival time (MST) of 5\u00b74 months. MST was 6\u00b72 months for acute type, 10\u00b72 months for lymphoma type, 24\u00b73 months for chronic type, and not yet reached for smouldering type. Projected 2- and 4-year survival rates were 16\u00b77% and 5\u00b70% for acute type, 21\u00b73% and 5\u00b77% for lymphoma type, 52\u00b74% and 26 ? 9% for chronic type, 77\u00b77% and 62\u00b78% for smouldering type, respectively. Distinct clinical features and laboratory findings of each clinical subtype are described.", "author" : [ { "dropping-particle" : "", "family" : "Shimoyama", "given" : "M", "non-dropping-particle" : "", "parse-names" : false, "suffix" : "" }, { "dropping-particle" : "", "family" : "(1984\u201387)", "given" : "members of The Lymphoma Study Group", "non-dropping-particle" : "", "parse-names" : false, "suffix" : "" } ], "container-title" : "British Journal of Haematology", "id" : "ITEM-1", "issue" : "3", "issued" : { "date-parts" : [ [ "1991", "11" ] ] }, "page" : "428-437", "publisher" : "John Wiley &amp; Sons, Ltd", "title" : "Diagnostic criteria and classification of clinical subtypes of adult T-cell leukaemia-lymphoma", "type" : "article-journal", "volume" : "79" }, "uris" : [ "http://www.mendeley.com/documents/?uuid=7be6d080-395e-46a7-af48-e4e29ff16c76", "http://www.mendeley.com/documents/?uuid=57ea64c9-5b32-49ed-9c44-047ce1108ce9" ] } ], "mendeley" : { "formattedCitation" : "(6)", "plainTextFormattedCitation" : "(6)", "previouslyFormattedCitation" : "(6)" }, "properties" : {  }, "schema" : "https://github.com/citation-style-language/schema/raw/master/csl-citation.json" }</w:instrText>
            </w:r>
            <w:r w:rsidRPr="005D65A2">
              <w:rPr>
                <w:rFonts w:ascii="Arial" w:hAnsi="Arial" w:cs="Arial"/>
              </w:rPr>
              <w:fldChar w:fldCharType="separate"/>
            </w:r>
            <w:r w:rsidRPr="005D65A2">
              <w:rPr>
                <w:rFonts w:ascii="Arial" w:hAnsi="Arial" w:cs="Arial"/>
                <w:noProof/>
              </w:rPr>
              <w:t>(6)</w:t>
            </w:r>
            <w:r w:rsidRPr="005D65A2">
              <w:rPr>
                <w:rFonts w:ascii="Arial" w:hAnsi="Arial" w:cs="Arial"/>
              </w:rPr>
              <w:fldChar w:fldCharType="end"/>
            </w:r>
            <w:r w:rsidRPr="005D65A2">
              <w:rPr>
                <w:rFonts w:ascii="Arial" w:hAnsi="Arial" w:cs="Arial"/>
              </w:rPr>
              <w:t xml:space="preserve"> y las formas cutáneas descritas por </w:t>
            </w:r>
            <w:proofErr w:type="spellStart"/>
            <w:r w:rsidRPr="005D65A2">
              <w:rPr>
                <w:rFonts w:ascii="Arial" w:hAnsi="Arial" w:cs="Arial"/>
              </w:rPr>
              <w:t>Bittencourt</w:t>
            </w:r>
            <w:proofErr w:type="spellEnd"/>
            <w:r w:rsidRPr="005D65A2">
              <w:rPr>
                <w:rFonts w:ascii="Arial" w:hAnsi="Arial" w:cs="Arial"/>
              </w:rPr>
              <w:t xml:space="preserve"> </w:t>
            </w:r>
            <w:r w:rsidRPr="005D65A2">
              <w:rPr>
                <w:rFonts w:ascii="Arial" w:hAnsi="Arial" w:cs="Arial"/>
              </w:rPr>
              <w:fldChar w:fldCharType="begin" w:fldLock="1"/>
            </w:r>
            <w:r w:rsidR="00F60C8B">
              <w:rPr>
                <w:rFonts w:ascii="Arial" w:hAnsi="Arial" w:cs="Arial"/>
              </w:rPr>
              <w:instrText>ADDIN CSL_CITATION { "citationItems" : [ { "id" : "ITEM-1", "itemData" : { "DOI" : "10.1080/02841860802657235", "ISSN" : "1651-226X (Electronic)", "PMID" : "19165640", "abstract" : "BACKGROUND: Adult T-cell leukemia/lymphoma (ATL) is a severe disease caused by HTLV-I. This paper describes the clinicopathological and immunohistochemical findings of 52 cases of ATL with skin involvement and investigates whether there is any relationship between median survival time (MST) and histological patterns, primary cutaneous involvement and CD8 positivity. MATERIAL AND METHODS: All cases were HTLV-I+ and HIV- and were clinically classified. HTLV-I proviral integration was investigated in atypical cases. Immunohistochemistry was performed using CD3, CD4, CD5, CD7, CD8, CD20, CD25, CD30 and CD45RO markers. Ki-67 was used to evaluate the proliferative index. RESULTS: Twenty-seven cases were primary, while 25 were secondary. Monoclonal viral integration was demonstrated in all atypical cases. Patterns resembling mycosis fungoides (MF) were found in 19 cases and anaplastic large-cell lymphoma (ALCL) in two cases. Fifteen cases had an atypical immunophenotype and expressed CD8. Primary cutaneous ATL had a longer MST (48 months) than the secondary cutaneous ATL (7 months) and the difference was statistically significant, but no statistically significant difference was found between the MST of CD8-positive and negative cases. CONCLUSIONS: It is important to differentiate between primary and secondary cutaneous ATL and classify the cases histologically in order to better evaluate the prognosis. The two forms of primary cutaneous ATL, primary cutaneous smoldering and primary cutaneous tumoral (PCT), should also be identified. The smoldering type presented a longer survival (58 months) and histological aspects suggestive of better prognosis in contrast to the PCT type that had a shorter survival (20 months) and histological characteristics suggestive of worse outcome.", "author" : [ { "dropping-particle" : "", "family" : "Bittencourt", "given" : "Achilea L", "non-dropping-particle" : "", "parse-names" : false, "suffix" : "" }, { "dropping-particle" : "", "family" : "Barbosa", "given" : "Helenemarie S", "non-dropping-particle" : "", "parse-names" : false, "suffix" : "" }, { "dropping-particle" : "", "family" : "Vieira", "given" : "Maria Das Gracas", "non-dropping-particle" : "", "parse-names" : false, "suffix" : "" }, { "dropping-particle" : "", "family" : "Farre", "given" : "Lourdes", "non-dropping-particle" : "", "parse-names" : false, "suffix" : "" } ], "container-title" : "Acta oncologica (Stockholm, Sweden)", "id" : "ITEM-1", "issue" : "4", "issued" : { "date-parts" : [ [ "2009" ] ] }, "language" : "eng", "page" : "598-604", "publisher-place" : "England", "title" : "Adult T-cell leukemia/lymphoma (ATL) presenting in the skin: clinical, histological and immunohistochemical features of 52 cases.", "type" : "article-journal", "volume" : "48" }, "uris" : [ "http://www.mendeley.com/documents/?uuid=a6f9fec4-9f30-48ac-bb05-07a1af8b054f", "http://www.mendeley.com/documents/?uuid=d4302f17-a88a-4a28-b492-757af35f895c" ] } ], "mendeley" : { "formattedCitation" : "(8)", "plainTextFormattedCitation" : "(8)", "previouslyFormattedCitation" : "(8)" }, "properties" : {  }, "schema" : "https://github.com/citation-style-language/schema/raw/master/csl-citation.json" }</w:instrText>
            </w:r>
            <w:r w:rsidRPr="005D65A2">
              <w:rPr>
                <w:rFonts w:ascii="Arial" w:hAnsi="Arial" w:cs="Arial"/>
              </w:rPr>
              <w:fldChar w:fldCharType="separate"/>
            </w:r>
            <w:r w:rsidRPr="005D65A2">
              <w:rPr>
                <w:rFonts w:ascii="Arial" w:hAnsi="Arial" w:cs="Arial"/>
                <w:noProof/>
              </w:rPr>
              <w:t>(8)</w:t>
            </w:r>
            <w:r w:rsidRPr="005D65A2">
              <w:rPr>
                <w:rFonts w:ascii="Arial" w:hAnsi="Arial" w:cs="Arial"/>
              </w:rPr>
              <w:fldChar w:fldCharType="end"/>
            </w:r>
          </w:p>
        </w:tc>
        <w:tc>
          <w:tcPr>
            <w:tcW w:w="1542" w:type="dxa"/>
            <w:vAlign w:val="center"/>
          </w:tcPr>
          <w:p w14:paraId="40FCF1CB" w14:textId="77777777" w:rsidR="00C355BF" w:rsidRPr="00131250" w:rsidRDefault="00C355BF" w:rsidP="005339BA">
            <w:pPr>
              <w:jc w:val="center"/>
              <w:rPr>
                <w:rFonts w:ascii="Arial" w:hAnsi="Arial" w:cs="Arial"/>
              </w:rPr>
            </w:pPr>
            <w:r w:rsidRPr="005D65A2">
              <w:rPr>
                <w:rFonts w:ascii="Arial" w:hAnsi="Arial" w:cs="Arial"/>
              </w:rPr>
              <w:t>Cualitativa</w:t>
            </w:r>
          </w:p>
        </w:tc>
        <w:tc>
          <w:tcPr>
            <w:tcW w:w="1701" w:type="dxa"/>
            <w:vAlign w:val="center"/>
          </w:tcPr>
          <w:p w14:paraId="42D4E206" w14:textId="77777777" w:rsidR="00C355BF" w:rsidRPr="00131250" w:rsidRDefault="00C355BF" w:rsidP="005339BA">
            <w:pPr>
              <w:jc w:val="center"/>
              <w:rPr>
                <w:rFonts w:ascii="Arial" w:hAnsi="Arial" w:cs="Arial"/>
              </w:rPr>
            </w:pPr>
            <w:r w:rsidRPr="005D65A2">
              <w:rPr>
                <w:rFonts w:ascii="Arial" w:hAnsi="Arial" w:cs="Arial"/>
              </w:rPr>
              <w:t>Nominal</w:t>
            </w:r>
          </w:p>
        </w:tc>
        <w:tc>
          <w:tcPr>
            <w:tcW w:w="2277" w:type="dxa"/>
            <w:vAlign w:val="center"/>
          </w:tcPr>
          <w:p w14:paraId="7BEFC6FC" w14:textId="4FF8A881" w:rsidR="00C355BF" w:rsidRDefault="00DC2CA4" w:rsidP="00C355BF">
            <w:pPr>
              <w:pStyle w:val="Prrafodelista"/>
              <w:numPr>
                <w:ilvl w:val="0"/>
                <w:numId w:val="9"/>
              </w:numPr>
              <w:ind w:left="228" w:hanging="228"/>
              <w:rPr>
                <w:rFonts w:cs="Arial"/>
              </w:rPr>
            </w:pPr>
            <w:r>
              <w:rPr>
                <w:rFonts w:cs="Arial"/>
              </w:rPr>
              <w:t>Smoldering:</w:t>
            </w:r>
            <w:r w:rsidR="00C355BF">
              <w:rPr>
                <w:rFonts w:cs="Arial"/>
              </w:rPr>
              <w:t>0</w:t>
            </w:r>
          </w:p>
          <w:p w14:paraId="38B1A456" w14:textId="77777777" w:rsidR="00C355BF" w:rsidRDefault="00C355BF" w:rsidP="00C355BF">
            <w:pPr>
              <w:pStyle w:val="Prrafodelista"/>
              <w:numPr>
                <w:ilvl w:val="0"/>
                <w:numId w:val="9"/>
              </w:numPr>
              <w:ind w:left="228" w:hanging="228"/>
              <w:rPr>
                <w:rFonts w:cs="Arial"/>
              </w:rPr>
            </w:pPr>
            <w:r>
              <w:rPr>
                <w:rFonts w:cs="Arial"/>
              </w:rPr>
              <w:t>Crónica: 1</w:t>
            </w:r>
          </w:p>
          <w:p w14:paraId="11FA5B93" w14:textId="77777777" w:rsidR="00C355BF" w:rsidRDefault="00C355BF" w:rsidP="00C355BF">
            <w:pPr>
              <w:pStyle w:val="Prrafodelista"/>
              <w:numPr>
                <w:ilvl w:val="0"/>
                <w:numId w:val="9"/>
              </w:numPr>
              <w:ind w:left="228" w:hanging="228"/>
              <w:rPr>
                <w:rFonts w:cs="Arial"/>
              </w:rPr>
            </w:pPr>
            <w:proofErr w:type="spellStart"/>
            <w:r>
              <w:rPr>
                <w:rFonts w:cs="Arial"/>
              </w:rPr>
              <w:t>Linfomatosa</w:t>
            </w:r>
            <w:proofErr w:type="spellEnd"/>
            <w:r>
              <w:rPr>
                <w:rFonts w:cs="Arial"/>
              </w:rPr>
              <w:t>: 2</w:t>
            </w:r>
          </w:p>
          <w:p w14:paraId="4C97D232" w14:textId="77777777" w:rsidR="00C355BF" w:rsidRDefault="00C355BF" w:rsidP="00C355BF">
            <w:pPr>
              <w:pStyle w:val="Prrafodelista"/>
              <w:numPr>
                <w:ilvl w:val="0"/>
                <w:numId w:val="9"/>
              </w:numPr>
              <w:ind w:left="228" w:hanging="228"/>
              <w:rPr>
                <w:rFonts w:cs="Arial"/>
              </w:rPr>
            </w:pPr>
            <w:r>
              <w:rPr>
                <w:rFonts w:cs="Arial"/>
              </w:rPr>
              <w:t>Aguda: 3</w:t>
            </w:r>
          </w:p>
          <w:p w14:paraId="116545FE" w14:textId="77777777" w:rsidR="00C355BF" w:rsidRDefault="00C355BF" w:rsidP="00C355BF">
            <w:pPr>
              <w:pStyle w:val="Prrafodelista"/>
              <w:numPr>
                <w:ilvl w:val="0"/>
                <w:numId w:val="8"/>
              </w:numPr>
              <w:ind w:left="205" w:hanging="205"/>
              <w:rPr>
                <w:rFonts w:cs="Arial"/>
              </w:rPr>
            </w:pPr>
            <w:r>
              <w:rPr>
                <w:rFonts w:cs="Arial"/>
              </w:rPr>
              <w:t>Cutánea: 4</w:t>
            </w:r>
          </w:p>
          <w:p w14:paraId="7767A00D" w14:textId="753ACEAD" w:rsidR="00DC2CA4" w:rsidRPr="00131250" w:rsidRDefault="00DC2CA4" w:rsidP="00C355BF">
            <w:pPr>
              <w:pStyle w:val="Prrafodelista"/>
              <w:numPr>
                <w:ilvl w:val="0"/>
                <w:numId w:val="8"/>
              </w:numPr>
              <w:ind w:left="205" w:hanging="205"/>
              <w:rPr>
                <w:rFonts w:cs="Arial"/>
              </w:rPr>
            </w:pPr>
            <w:r>
              <w:rPr>
                <w:rFonts w:cs="Arial"/>
              </w:rPr>
              <w:t>No especificada:5</w:t>
            </w:r>
          </w:p>
        </w:tc>
        <w:tc>
          <w:tcPr>
            <w:tcW w:w="2243" w:type="dxa"/>
            <w:vAlign w:val="center"/>
          </w:tcPr>
          <w:p w14:paraId="5D741565" w14:textId="77777777" w:rsidR="00C355BF" w:rsidRPr="00131250" w:rsidRDefault="00C355BF" w:rsidP="005339BA">
            <w:pPr>
              <w:jc w:val="center"/>
              <w:rPr>
                <w:rFonts w:ascii="Arial" w:hAnsi="Arial" w:cs="Arial"/>
              </w:rPr>
            </w:pPr>
            <w:r w:rsidRPr="00131250">
              <w:rPr>
                <w:rFonts w:ascii="Arial" w:hAnsi="Arial" w:cs="Arial"/>
              </w:rPr>
              <w:t xml:space="preserve">Reporte en la historia clínica de datos </w:t>
            </w:r>
            <w:proofErr w:type="spellStart"/>
            <w:r w:rsidRPr="00131250">
              <w:rPr>
                <w:rFonts w:ascii="Arial" w:hAnsi="Arial" w:cs="Arial"/>
              </w:rPr>
              <w:t>anatomopatológicos</w:t>
            </w:r>
            <w:proofErr w:type="spellEnd"/>
            <w:r w:rsidRPr="00131250">
              <w:rPr>
                <w:rFonts w:ascii="Arial" w:hAnsi="Arial" w:cs="Arial"/>
              </w:rPr>
              <w:t xml:space="preserve">, </w:t>
            </w:r>
            <w:proofErr w:type="spellStart"/>
            <w:r w:rsidRPr="00131250">
              <w:rPr>
                <w:rFonts w:ascii="Arial" w:hAnsi="Arial" w:cs="Arial"/>
              </w:rPr>
              <w:t>imagenológicos</w:t>
            </w:r>
            <w:proofErr w:type="spellEnd"/>
            <w:r w:rsidRPr="00131250">
              <w:rPr>
                <w:rFonts w:ascii="Arial" w:hAnsi="Arial" w:cs="Arial"/>
              </w:rPr>
              <w:t xml:space="preserve"> o clínicos.</w:t>
            </w:r>
          </w:p>
        </w:tc>
      </w:tr>
      <w:tr w:rsidR="00C355BF" w:rsidRPr="00131250" w14:paraId="363124E0" w14:textId="77777777" w:rsidTr="007E60D0">
        <w:trPr>
          <w:trHeight w:val="784"/>
          <w:jc w:val="center"/>
        </w:trPr>
        <w:tc>
          <w:tcPr>
            <w:tcW w:w="2085" w:type="dxa"/>
            <w:vAlign w:val="center"/>
          </w:tcPr>
          <w:p w14:paraId="5ED70859" w14:textId="77777777" w:rsidR="00C355BF" w:rsidRPr="00131250" w:rsidRDefault="00C355BF" w:rsidP="005339BA">
            <w:pPr>
              <w:jc w:val="center"/>
              <w:rPr>
                <w:rFonts w:ascii="Arial" w:hAnsi="Arial" w:cs="Arial"/>
              </w:rPr>
            </w:pPr>
            <w:r w:rsidRPr="00131250">
              <w:rPr>
                <w:rFonts w:ascii="Arial" w:hAnsi="Arial" w:cs="Arial"/>
              </w:rPr>
              <w:t>Estadio clínico</w:t>
            </w:r>
          </w:p>
        </w:tc>
        <w:tc>
          <w:tcPr>
            <w:tcW w:w="2169" w:type="dxa"/>
            <w:vAlign w:val="center"/>
          </w:tcPr>
          <w:p w14:paraId="7A6818EB" w14:textId="77777777" w:rsidR="00C355BF" w:rsidRPr="00131250" w:rsidRDefault="00C355BF" w:rsidP="005339BA">
            <w:pPr>
              <w:jc w:val="center"/>
              <w:rPr>
                <w:rFonts w:ascii="Arial" w:hAnsi="Arial" w:cs="Arial"/>
              </w:rPr>
            </w:pPr>
            <w:r w:rsidRPr="00131250">
              <w:rPr>
                <w:rFonts w:ascii="Arial" w:hAnsi="Arial" w:cs="Arial"/>
              </w:rPr>
              <w:t xml:space="preserve">Cantidad o grado de diseminación del </w:t>
            </w:r>
            <w:r>
              <w:rPr>
                <w:rFonts w:ascii="Arial" w:hAnsi="Arial" w:cs="Arial"/>
              </w:rPr>
              <w:t>linfoma</w:t>
            </w:r>
            <w:r w:rsidRPr="00131250">
              <w:rPr>
                <w:rFonts w:ascii="Arial" w:hAnsi="Arial" w:cs="Arial"/>
              </w:rPr>
              <w:t xml:space="preserve"> en el organismo, definido </w:t>
            </w:r>
            <w:r w:rsidRPr="00131250">
              <w:rPr>
                <w:rFonts w:ascii="Arial" w:hAnsi="Arial" w:cs="Arial"/>
              </w:rPr>
              <w:lastRenderedPageBreak/>
              <w:t xml:space="preserve">según índices </w:t>
            </w:r>
            <w:proofErr w:type="spellStart"/>
            <w:r w:rsidRPr="00131250">
              <w:rPr>
                <w:rFonts w:ascii="Arial" w:hAnsi="Arial" w:cs="Arial"/>
              </w:rPr>
              <w:t>laboratoriales</w:t>
            </w:r>
            <w:proofErr w:type="spellEnd"/>
            <w:r w:rsidRPr="00131250">
              <w:rPr>
                <w:rFonts w:ascii="Arial" w:hAnsi="Arial" w:cs="Arial"/>
              </w:rPr>
              <w:t xml:space="preserve">, </w:t>
            </w:r>
            <w:proofErr w:type="spellStart"/>
            <w:r w:rsidRPr="00131250">
              <w:rPr>
                <w:rFonts w:ascii="Arial" w:hAnsi="Arial" w:cs="Arial"/>
              </w:rPr>
              <w:t>imagenológicos</w:t>
            </w:r>
            <w:proofErr w:type="spellEnd"/>
            <w:r w:rsidRPr="00131250">
              <w:rPr>
                <w:rFonts w:ascii="Arial" w:hAnsi="Arial" w:cs="Arial"/>
              </w:rPr>
              <w:t xml:space="preserve"> y </w:t>
            </w:r>
            <w:proofErr w:type="spellStart"/>
            <w:r w:rsidRPr="00131250">
              <w:rPr>
                <w:rFonts w:ascii="Arial" w:hAnsi="Arial" w:cs="Arial"/>
              </w:rPr>
              <w:t>anatomo</w:t>
            </w:r>
            <w:proofErr w:type="spellEnd"/>
            <w:r w:rsidRPr="00131250">
              <w:rPr>
                <w:rFonts w:ascii="Arial" w:hAnsi="Arial" w:cs="Arial"/>
              </w:rPr>
              <w:t xml:space="preserve"> patológico</w:t>
            </w:r>
            <w:r>
              <w:rPr>
                <w:rFonts w:ascii="Arial" w:hAnsi="Arial" w:cs="Arial"/>
              </w:rPr>
              <w:t xml:space="preserve">, bajo </w:t>
            </w:r>
            <w:r w:rsidRPr="00A07833">
              <w:rPr>
                <w:rFonts w:ascii="Arial" w:hAnsi="Arial" w:cs="Arial"/>
              </w:rPr>
              <w:t xml:space="preserve">la clasificación Ann Arbor, </w:t>
            </w:r>
            <w:r>
              <w:rPr>
                <w:rFonts w:ascii="Arial" w:hAnsi="Arial" w:cs="Arial"/>
              </w:rPr>
              <w:t>cuando corresponda para el subtipo de ATLL.</w:t>
            </w:r>
          </w:p>
        </w:tc>
        <w:tc>
          <w:tcPr>
            <w:tcW w:w="1542" w:type="dxa"/>
            <w:vAlign w:val="center"/>
          </w:tcPr>
          <w:p w14:paraId="0690E05E" w14:textId="77777777" w:rsidR="00C355BF" w:rsidRPr="00131250" w:rsidRDefault="00C355BF" w:rsidP="005339BA">
            <w:pPr>
              <w:jc w:val="center"/>
              <w:rPr>
                <w:rFonts w:ascii="Arial" w:hAnsi="Arial" w:cs="Arial"/>
              </w:rPr>
            </w:pPr>
            <w:r w:rsidRPr="00131250">
              <w:rPr>
                <w:rFonts w:ascii="Arial" w:hAnsi="Arial" w:cs="Arial"/>
              </w:rPr>
              <w:lastRenderedPageBreak/>
              <w:t>Cualitativa</w:t>
            </w:r>
          </w:p>
        </w:tc>
        <w:tc>
          <w:tcPr>
            <w:tcW w:w="1701" w:type="dxa"/>
            <w:vAlign w:val="center"/>
          </w:tcPr>
          <w:p w14:paraId="7EFC2653" w14:textId="77777777" w:rsidR="00C355BF" w:rsidRPr="00131250" w:rsidRDefault="00C355BF" w:rsidP="005339BA">
            <w:pPr>
              <w:jc w:val="center"/>
              <w:rPr>
                <w:rFonts w:ascii="Arial" w:hAnsi="Arial" w:cs="Arial"/>
              </w:rPr>
            </w:pPr>
            <w:r w:rsidRPr="00131250">
              <w:rPr>
                <w:rFonts w:ascii="Arial" w:hAnsi="Arial" w:cs="Arial"/>
              </w:rPr>
              <w:t>Ordinal</w:t>
            </w:r>
          </w:p>
        </w:tc>
        <w:tc>
          <w:tcPr>
            <w:tcW w:w="2277" w:type="dxa"/>
            <w:vAlign w:val="center"/>
          </w:tcPr>
          <w:p w14:paraId="2A57367D" w14:textId="77777777" w:rsidR="00C355BF" w:rsidRPr="0071022D" w:rsidRDefault="00C355BF" w:rsidP="005339BA">
            <w:pPr>
              <w:rPr>
                <w:rFonts w:ascii="Arial" w:hAnsi="Arial" w:cs="Arial"/>
                <w:lang w:val="es-PE"/>
              </w:rPr>
            </w:pPr>
            <w:r w:rsidRPr="0071022D">
              <w:rPr>
                <w:rFonts w:ascii="Arial" w:hAnsi="Arial" w:cs="Arial"/>
                <w:lang w:val="es-PE"/>
              </w:rPr>
              <w:t>- EC I: 0</w:t>
            </w:r>
          </w:p>
          <w:p w14:paraId="6ED22875" w14:textId="77777777" w:rsidR="00C355BF" w:rsidRPr="0071022D" w:rsidRDefault="00C355BF" w:rsidP="005339BA">
            <w:pPr>
              <w:rPr>
                <w:rFonts w:ascii="Arial" w:hAnsi="Arial" w:cs="Arial"/>
                <w:lang w:val="es-PE"/>
              </w:rPr>
            </w:pPr>
            <w:r w:rsidRPr="0071022D">
              <w:rPr>
                <w:rFonts w:ascii="Arial" w:hAnsi="Arial" w:cs="Arial"/>
                <w:lang w:val="es-PE"/>
              </w:rPr>
              <w:t>- EC II: 1</w:t>
            </w:r>
          </w:p>
          <w:p w14:paraId="0F67028C" w14:textId="77777777" w:rsidR="00C355BF" w:rsidRPr="0071022D" w:rsidRDefault="00C355BF" w:rsidP="005339BA">
            <w:pPr>
              <w:rPr>
                <w:rFonts w:ascii="Arial" w:hAnsi="Arial" w:cs="Arial"/>
                <w:lang w:val="es-PE"/>
              </w:rPr>
            </w:pPr>
            <w:r w:rsidRPr="0071022D">
              <w:rPr>
                <w:rFonts w:ascii="Arial" w:hAnsi="Arial" w:cs="Arial"/>
                <w:lang w:val="es-PE"/>
              </w:rPr>
              <w:t>- EC III: 2</w:t>
            </w:r>
          </w:p>
          <w:p w14:paraId="7DD97A04" w14:textId="77777777" w:rsidR="00C355BF" w:rsidRPr="00F04E64" w:rsidRDefault="00C355BF" w:rsidP="005339BA">
            <w:pPr>
              <w:rPr>
                <w:rFonts w:ascii="Arial" w:hAnsi="Arial" w:cs="Arial"/>
                <w:lang w:val="es-PE"/>
              </w:rPr>
            </w:pPr>
            <w:r w:rsidRPr="00F04E64">
              <w:rPr>
                <w:rFonts w:ascii="Arial" w:hAnsi="Arial" w:cs="Arial"/>
                <w:lang w:val="es-PE"/>
              </w:rPr>
              <w:t>- EC IV: 3</w:t>
            </w:r>
          </w:p>
          <w:p w14:paraId="1B2ADE65" w14:textId="548CC477" w:rsidR="00C355BF" w:rsidRPr="00F04E64" w:rsidRDefault="00C355BF" w:rsidP="005339BA">
            <w:pPr>
              <w:rPr>
                <w:rFonts w:ascii="Arial" w:hAnsi="Arial" w:cs="Arial"/>
                <w:color w:val="000000" w:themeColor="text1"/>
                <w:lang w:val="es-PE"/>
              </w:rPr>
            </w:pPr>
            <w:r w:rsidRPr="00F04E64">
              <w:rPr>
                <w:rFonts w:ascii="Arial" w:hAnsi="Arial" w:cs="Arial"/>
                <w:lang w:val="es-PE"/>
              </w:rPr>
              <w:lastRenderedPageBreak/>
              <w:t>-No applicable</w:t>
            </w:r>
            <w:r w:rsidR="00F639AF">
              <w:rPr>
                <w:rFonts w:ascii="Arial" w:hAnsi="Arial" w:cs="Arial"/>
                <w:lang w:val="es-PE"/>
              </w:rPr>
              <w:t xml:space="preserve"> o no especificada</w:t>
            </w:r>
            <w:r w:rsidRPr="00F04E64">
              <w:rPr>
                <w:rFonts w:ascii="Arial" w:hAnsi="Arial" w:cs="Arial"/>
                <w:lang w:val="es-PE"/>
              </w:rPr>
              <w:t>: 4</w:t>
            </w:r>
          </w:p>
        </w:tc>
        <w:tc>
          <w:tcPr>
            <w:tcW w:w="2243" w:type="dxa"/>
            <w:vAlign w:val="center"/>
          </w:tcPr>
          <w:p w14:paraId="56A294BE" w14:textId="77777777" w:rsidR="00C355BF" w:rsidRPr="00131250" w:rsidRDefault="00C355BF" w:rsidP="005339BA">
            <w:pPr>
              <w:jc w:val="center"/>
              <w:rPr>
                <w:rFonts w:ascii="Arial" w:hAnsi="Arial" w:cs="Arial"/>
              </w:rPr>
            </w:pPr>
            <w:r w:rsidRPr="00131250">
              <w:rPr>
                <w:rFonts w:ascii="Arial" w:hAnsi="Arial" w:cs="Arial"/>
              </w:rPr>
              <w:lastRenderedPageBreak/>
              <w:t xml:space="preserve">Reporte en la historia clínica de datos </w:t>
            </w:r>
            <w:proofErr w:type="spellStart"/>
            <w:r w:rsidRPr="00131250">
              <w:rPr>
                <w:rFonts w:ascii="Arial" w:hAnsi="Arial" w:cs="Arial"/>
              </w:rPr>
              <w:t>anatomopatológicos</w:t>
            </w:r>
            <w:proofErr w:type="spellEnd"/>
            <w:r w:rsidRPr="00131250">
              <w:rPr>
                <w:rFonts w:ascii="Arial" w:hAnsi="Arial" w:cs="Arial"/>
              </w:rPr>
              <w:t xml:space="preserve">, </w:t>
            </w:r>
            <w:proofErr w:type="spellStart"/>
            <w:r w:rsidRPr="00131250">
              <w:rPr>
                <w:rFonts w:ascii="Arial" w:hAnsi="Arial" w:cs="Arial"/>
              </w:rPr>
              <w:lastRenderedPageBreak/>
              <w:t>imagenológicos</w:t>
            </w:r>
            <w:proofErr w:type="spellEnd"/>
            <w:r w:rsidRPr="00131250">
              <w:rPr>
                <w:rFonts w:ascii="Arial" w:hAnsi="Arial" w:cs="Arial"/>
              </w:rPr>
              <w:t xml:space="preserve"> o clínicos.</w:t>
            </w:r>
          </w:p>
        </w:tc>
      </w:tr>
      <w:tr w:rsidR="00C355BF" w:rsidRPr="00131250" w14:paraId="3BB97D9B" w14:textId="77777777" w:rsidTr="007E60D0">
        <w:trPr>
          <w:trHeight w:val="784"/>
          <w:jc w:val="center"/>
        </w:trPr>
        <w:tc>
          <w:tcPr>
            <w:tcW w:w="2085" w:type="dxa"/>
            <w:vAlign w:val="center"/>
          </w:tcPr>
          <w:p w14:paraId="79C12186" w14:textId="77777777" w:rsidR="00C355BF" w:rsidRPr="00131250" w:rsidRDefault="00C355BF" w:rsidP="005339BA">
            <w:pPr>
              <w:jc w:val="center"/>
              <w:rPr>
                <w:rFonts w:ascii="Arial" w:hAnsi="Arial" w:cs="Arial"/>
              </w:rPr>
            </w:pPr>
            <w:r w:rsidRPr="00131250">
              <w:rPr>
                <w:rFonts w:ascii="Arial" w:hAnsi="Arial" w:cs="Arial"/>
              </w:rPr>
              <w:lastRenderedPageBreak/>
              <w:t>Síntomas B</w:t>
            </w:r>
          </w:p>
        </w:tc>
        <w:tc>
          <w:tcPr>
            <w:tcW w:w="2169" w:type="dxa"/>
            <w:vAlign w:val="center"/>
          </w:tcPr>
          <w:p w14:paraId="0130157C" w14:textId="77777777" w:rsidR="00C355BF" w:rsidRPr="00131250" w:rsidRDefault="00C355BF" w:rsidP="005339BA">
            <w:pPr>
              <w:jc w:val="center"/>
              <w:rPr>
                <w:rFonts w:ascii="Arial" w:hAnsi="Arial" w:cs="Arial"/>
              </w:rPr>
            </w:pPr>
            <w:r w:rsidRPr="00131250">
              <w:rPr>
                <w:rFonts w:ascii="Arial" w:hAnsi="Arial" w:cs="Arial"/>
                <w:color w:val="000000" w:themeColor="text1"/>
              </w:rPr>
              <w:t>Síntomas sistémicos de fiebre, sudores nocturnos, y pérdida de peso de más del 10% en periodos cortos de tiempo, que pueden estar asociados al cuadro clínico del linfoma</w:t>
            </w:r>
          </w:p>
        </w:tc>
        <w:tc>
          <w:tcPr>
            <w:tcW w:w="1542" w:type="dxa"/>
            <w:vAlign w:val="center"/>
          </w:tcPr>
          <w:p w14:paraId="2CB4D6A4" w14:textId="77777777" w:rsidR="00C355BF" w:rsidRPr="00131250" w:rsidRDefault="00C355BF" w:rsidP="005339BA">
            <w:pPr>
              <w:jc w:val="center"/>
              <w:rPr>
                <w:rFonts w:ascii="Arial" w:hAnsi="Arial" w:cs="Arial"/>
              </w:rPr>
            </w:pPr>
            <w:r w:rsidRPr="00131250">
              <w:rPr>
                <w:rFonts w:ascii="Arial" w:hAnsi="Arial" w:cs="Arial"/>
              </w:rPr>
              <w:t>Cualitativa</w:t>
            </w:r>
          </w:p>
          <w:p w14:paraId="309B2BF2" w14:textId="77777777" w:rsidR="00C355BF" w:rsidRPr="00131250" w:rsidRDefault="00C355BF" w:rsidP="005339BA">
            <w:pPr>
              <w:jc w:val="center"/>
              <w:rPr>
                <w:rFonts w:ascii="Arial" w:hAnsi="Arial" w:cs="Arial"/>
              </w:rPr>
            </w:pPr>
            <w:r w:rsidRPr="00131250">
              <w:rPr>
                <w:rFonts w:ascii="Arial" w:hAnsi="Arial" w:cs="Arial"/>
              </w:rPr>
              <w:t>Dicotómica</w:t>
            </w:r>
          </w:p>
        </w:tc>
        <w:tc>
          <w:tcPr>
            <w:tcW w:w="1701" w:type="dxa"/>
            <w:vAlign w:val="center"/>
          </w:tcPr>
          <w:p w14:paraId="4BF1A424" w14:textId="77777777" w:rsidR="00C355BF" w:rsidRPr="00131250" w:rsidRDefault="00C355BF" w:rsidP="005339BA">
            <w:pPr>
              <w:jc w:val="center"/>
              <w:rPr>
                <w:rFonts w:ascii="Arial" w:hAnsi="Arial" w:cs="Arial"/>
              </w:rPr>
            </w:pPr>
            <w:r w:rsidRPr="00131250">
              <w:rPr>
                <w:rFonts w:ascii="Arial" w:hAnsi="Arial" w:cs="Arial"/>
              </w:rPr>
              <w:t>Nominal</w:t>
            </w:r>
          </w:p>
        </w:tc>
        <w:tc>
          <w:tcPr>
            <w:tcW w:w="2277" w:type="dxa"/>
            <w:vAlign w:val="center"/>
          </w:tcPr>
          <w:p w14:paraId="1032C446" w14:textId="12E1B95F" w:rsidR="00C355BF" w:rsidRPr="00131250" w:rsidRDefault="00F639AF" w:rsidP="00C355BF">
            <w:pPr>
              <w:pStyle w:val="Prrafodelista"/>
              <w:numPr>
                <w:ilvl w:val="0"/>
                <w:numId w:val="9"/>
              </w:numPr>
              <w:ind w:left="228" w:hanging="228"/>
              <w:rPr>
                <w:rFonts w:cs="Arial"/>
              </w:rPr>
            </w:pPr>
            <w:r>
              <w:rPr>
                <w:rFonts w:cs="Arial"/>
              </w:rPr>
              <w:t>No:0</w:t>
            </w:r>
          </w:p>
          <w:p w14:paraId="06A05C4B" w14:textId="727B98A2" w:rsidR="00C355BF" w:rsidRPr="00F04E64" w:rsidRDefault="00F639AF" w:rsidP="005339BA">
            <w:pPr>
              <w:rPr>
                <w:rFonts w:ascii="Arial" w:hAnsi="Arial" w:cs="Arial"/>
                <w:lang w:val="es-PE"/>
              </w:rPr>
            </w:pPr>
            <w:r>
              <w:rPr>
                <w:rFonts w:ascii="Arial" w:hAnsi="Arial" w:cs="Arial"/>
              </w:rPr>
              <w:t>-  Si</w:t>
            </w:r>
            <w:r w:rsidR="00C355BF" w:rsidRPr="00131250">
              <w:rPr>
                <w:rFonts w:ascii="Arial" w:hAnsi="Arial" w:cs="Arial"/>
              </w:rPr>
              <w:t>: 1</w:t>
            </w:r>
          </w:p>
        </w:tc>
        <w:tc>
          <w:tcPr>
            <w:tcW w:w="2243" w:type="dxa"/>
            <w:vAlign w:val="center"/>
          </w:tcPr>
          <w:p w14:paraId="510158D3" w14:textId="77777777" w:rsidR="00C355BF" w:rsidRPr="00131250" w:rsidRDefault="00C355BF" w:rsidP="005339BA">
            <w:pPr>
              <w:jc w:val="center"/>
              <w:rPr>
                <w:rFonts w:ascii="Arial" w:hAnsi="Arial" w:cs="Arial"/>
              </w:rPr>
            </w:pPr>
            <w:r w:rsidRPr="00131250">
              <w:rPr>
                <w:rFonts w:ascii="Arial" w:hAnsi="Arial" w:cs="Arial"/>
              </w:rPr>
              <w:t>Reporte en la historia clínica.</w:t>
            </w:r>
          </w:p>
        </w:tc>
      </w:tr>
      <w:tr w:rsidR="00386D2C" w:rsidRPr="00131250" w14:paraId="47FD4448" w14:textId="77777777" w:rsidTr="007E60D0">
        <w:trPr>
          <w:trHeight w:val="784"/>
          <w:jc w:val="center"/>
        </w:trPr>
        <w:tc>
          <w:tcPr>
            <w:tcW w:w="2085" w:type="dxa"/>
            <w:vAlign w:val="center"/>
          </w:tcPr>
          <w:p w14:paraId="1A5978EA" w14:textId="755C75AC" w:rsidR="00386D2C" w:rsidRPr="00131250" w:rsidRDefault="00386D2C" w:rsidP="005339BA">
            <w:pPr>
              <w:jc w:val="center"/>
              <w:rPr>
                <w:rFonts w:ascii="Arial" w:hAnsi="Arial" w:cs="Arial"/>
              </w:rPr>
            </w:pPr>
            <w:r>
              <w:rPr>
                <w:rFonts w:ascii="Arial" w:hAnsi="Arial" w:cs="Arial"/>
              </w:rPr>
              <w:t>Lesiones dérmicas</w:t>
            </w:r>
          </w:p>
        </w:tc>
        <w:tc>
          <w:tcPr>
            <w:tcW w:w="2169" w:type="dxa"/>
            <w:vAlign w:val="center"/>
          </w:tcPr>
          <w:p w14:paraId="75805C7B" w14:textId="4B42D3D9" w:rsidR="00386D2C" w:rsidRPr="00131250" w:rsidRDefault="00DF572E" w:rsidP="00CE14F3">
            <w:pPr>
              <w:jc w:val="center"/>
              <w:rPr>
                <w:rFonts w:ascii="Arial" w:hAnsi="Arial" w:cs="Arial"/>
                <w:color w:val="000000" w:themeColor="text1"/>
              </w:rPr>
            </w:pPr>
            <w:r w:rsidRPr="00DF572E">
              <w:rPr>
                <w:rFonts w:ascii="Arial" w:hAnsi="Arial" w:cs="Arial"/>
                <w:color w:val="000000" w:themeColor="text1"/>
              </w:rPr>
              <w:t xml:space="preserve">Las </w:t>
            </w:r>
            <w:r>
              <w:rPr>
                <w:rFonts w:ascii="Arial" w:hAnsi="Arial" w:cs="Arial"/>
                <w:color w:val="000000" w:themeColor="text1"/>
              </w:rPr>
              <w:t xml:space="preserve">lesiones </w:t>
            </w:r>
            <w:r w:rsidRPr="00DF572E">
              <w:rPr>
                <w:rFonts w:ascii="Arial" w:hAnsi="Arial" w:cs="Arial"/>
                <w:color w:val="000000" w:themeColor="text1"/>
              </w:rPr>
              <w:t xml:space="preserve">cutáneas de ATLL </w:t>
            </w:r>
            <w:r w:rsidR="00CE14F3">
              <w:rPr>
                <w:rFonts w:ascii="Arial" w:hAnsi="Arial" w:cs="Arial"/>
                <w:color w:val="000000" w:themeColor="text1"/>
              </w:rPr>
              <w:t xml:space="preserve">son cuando las </w:t>
            </w:r>
            <w:r>
              <w:rPr>
                <w:rFonts w:ascii="Arial" w:hAnsi="Arial" w:cs="Arial"/>
                <w:color w:val="000000" w:themeColor="text1"/>
              </w:rPr>
              <w:t>células neoplásicas infiltran</w:t>
            </w:r>
            <w:r w:rsidRPr="00DF572E">
              <w:rPr>
                <w:rFonts w:ascii="Arial" w:hAnsi="Arial" w:cs="Arial"/>
                <w:color w:val="000000" w:themeColor="text1"/>
              </w:rPr>
              <w:t xml:space="preserve"> las capas cutáneas</w:t>
            </w:r>
            <w:r w:rsidR="00CE14F3">
              <w:rPr>
                <w:rFonts w:ascii="Arial" w:hAnsi="Arial" w:cs="Arial"/>
                <w:color w:val="000000" w:themeColor="text1"/>
              </w:rPr>
              <w:t>.</w:t>
            </w:r>
          </w:p>
        </w:tc>
        <w:tc>
          <w:tcPr>
            <w:tcW w:w="1542" w:type="dxa"/>
            <w:vAlign w:val="center"/>
          </w:tcPr>
          <w:p w14:paraId="373277E6" w14:textId="77777777" w:rsidR="00386D2C" w:rsidRPr="00131250" w:rsidRDefault="00386D2C" w:rsidP="00386D2C">
            <w:pPr>
              <w:jc w:val="center"/>
              <w:rPr>
                <w:rFonts w:ascii="Arial" w:hAnsi="Arial" w:cs="Arial"/>
              </w:rPr>
            </w:pPr>
            <w:r w:rsidRPr="00131250">
              <w:rPr>
                <w:rFonts w:ascii="Arial" w:hAnsi="Arial" w:cs="Arial"/>
              </w:rPr>
              <w:t>Cualitativa</w:t>
            </w:r>
          </w:p>
          <w:p w14:paraId="5868D2B8" w14:textId="262E7757" w:rsidR="00386D2C" w:rsidRPr="00131250" w:rsidRDefault="00386D2C" w:rsidP="00386D2C">
            <w:pPr>
              <w:jc w:val="center"/>
              <w:rPr>
                <w:rFonts w:ascii="Arial" w:hAnsi="Arial" w:cs="Arial"/>
              </w:rPr>
            </w:pPr>
            <w:r w:rsidRPr="00131250">
              <w:rPr>
                <w:rFonts w:ascii="Arial" w:hAnsi="Arial" w:cs="Arial"/>
              </w:rPr>
              <w:t>Dicotómica</w:t>
            </w:r>
          </w:p>
        </w:tc>
        <w:tc>
          <w:tcPr>
            <w:tcW w:w="1701" w:type="dxa"/>
            <w:vAlign w:val="center"/>
          </w:tcPr>
          <w:p w14:paraId="4868B662" w14:textId="771B449D" w:rsidR="00386D2C" w:rsidRPr="00131250" w:rsidRDefault="00386D2C" w:rsidP="005339BA">
            <w:pPr>
              <w:jc w:val="center"/>
              <w:rPr>
                <w:rFonts w:ascii="Arial" w:hAnsi="Arial" w:cs="Arial"/>
              </w:rPr>
            </w:pPr>
            <w:r>
              <w:rPr>
                <w:rFonts w:ascii="Arial" w:hAnsi="Arial" w:cs="Arial"/>
              </w:rPr>
              <w:t>Nominal</w:t>
            </w:r>
          </w:p>
        </w:tc>
        <w:tc>
          <w:tcPr>
            <w:tcW w:w="2277" w:type="dxa"/>
            <w:vAlign w:val="center"/>
          </w:tcPr>
          <w:p w14:paraId="51FA4794" w14:textId="77777777" w:rsidR="00386D2C" w:rsidRDefault="00386D2C" w:rsidP="00C355BF">
            <w:pPr>
              <w:pStyle w:val="Prrafodelista"/>
              <w:numPr>
                <w:ilvl w:val="0"/>
                <w:numId w:val="9"/>
              </w:numPr>
              <w:ind w:left="228" w:hanging="228"/>
              <w:rPr>
                <w:rFonts w:cs="Arial"/>
              </w:rPr>
            </w:pPr>
            <w:r>
              <w:rPr>
                <w:rFonts w:cs="Arial"/>
              </w:rPr>
              <w:t>No :0</w:t>
            </w:r>
          </w:p>
          <w:p w14:paraId="7429A9C3" w14:textId="7413850B" w:rsidR="00386D2C" w:rsidRPr="00131250" w:rsidRDefault="00386D2C" w:rsidP="00C355BF">
            <w:pPr>
              <w:pStyle w:val="Prrafodelista"/>
              <w:numPr>
                <w:ilvl w:val="0"/>
                <w:numId w:val="9"/>
              </w:numPr>
              <w:ind w:left="228" w:hanging="228"/>
              <w:rPr>
                <w:rFonts w:cs="Arial"/>
              </w:rPr>
            </w:pPr>
            <w:r>
              <w:rPr>
                <w:rFonts w:cs="Arial"/>
              </w:rPr>
              <w:t>Si:1</w:t>
            </w:r>
          </w:p>
        </w:tc>
        <w:tc>
          <w:tcPr>
            <w:tcW w:w="2243" w:type="dxa"/>
            <w:vAlign w:val="center"/>
          </w:tcPr>
          <w:p w14:paraId="7D6287B6" w14:textId="4487D4B1" w:rsidR="00386D2C" w:rsidRPr="00131250" w:rsidRDefault="00386D2C" w:rsidP="005339BA">
            <w:pPr>
              <w:jc w:val="center"/>
              <w:rPr>
                <w:rFonts w:ascii="Arial" w:hAnsi="Arial" w:cs="Arial"/>
              </w:rPr>
            </w:pPr>
            <w:r w:rsidRPr="00131250">
              <w:rPr>
                <w:rFonts w:ascii="Arial" w:hAnsi="Arial" w:cs="Arial"/>
              </w:rPr>
              <w:t>Reporte en la historia clínica.</w:t>
            </w:r>
          </w:p>
        </w:tc>
      </w:tr>
      <w:tr w:rsidR="00386D2C" w:rsidRPr="00131250" w14:paraId="0F4B4869" w14:textId="77777777" w:rsidTr="007E60D0">
        <w:trPr>
          <w:trHeight w:val="784"/>
          <w:jc w:val="center"/>
        </w:trPr>
        <w:tc>
          <w:tcPr>
            <w:tcW w:w="2085" w:type="dxa"/>
            <w:vAlign w:val="center"/>
          </w:tcPr>
          <w:p w14:paraId="3F5D5C49" w14:textId="0998E950" w:rsidR="00386D2C" w:rsidRPr="00131250" w:rsidRDefault="00386D2C" w:rsidP="00386D2C">
            <w:pPr>
              <w:jc w:val="center"/>
              <w:rPr>
                <w:rFonts w:ascii="Arial" w:hAnsi="Arial" w:cs="Arial"/>
              </w:rPr>
            </w:pPr>
            <w:r w:rsidRPr="00386D2C">
              <w:rPr>
                <w:rFonts w:ascii="Arial" w:hAnsi="Arial" w:cs="Arial"/>
              </w:rPr>
              <w:t>Su</w:t>
            </w:r>
            <w:r>
              <w:rPr>
                <w:rFonts w:ascii="Arial" w:hAnsi="Arial" w:cs="Arial"/>
              </w:rPr>
              <w:t>b</w:t>
            </w:r>
            <w:r w:rsidRPr="00386D2C">
              <w:rPr>
                <w:rFonts w:ascii="Arial" w:hAnsi="Arial" w:cs="Arial"/>
              </w:rPr>
              <w:t xml:space="preserve">tipo de lesión de piel </w:t>
            </w:r>
          </w:p>
        </w:tc>
        <w:tc>
          <w:tcPr>
            <w:tcW w:w="2169" w:type="dxa"/>
            <w:vAlign w:val="center"/>
          </w:tcPr>
          <w:p w14:paraId="7BAA3588" w14:textId="574FF7D3" w:rsidR="00386D2C" w:rsidRPr="00131250" w:rsidRDefault="000D2DEB" w:rsidP="005339BA">
            <w:pPr>
              <w:jc w:val="center"/>
              <w:rPr>
                <w:rFonts w:ascii="Arial" w:hAnsi="Arial" w:cs="Arial"/>
                <w:color w:val="000000" w:themeColor="text1"/>
              </w:rPr>
            </w:pPr>
            <w:r>
              <w:rPr>
                <w:rFonts w:ascii="Arial" w:hAnsi="Arial" w:cs="Arial"/>
                <w:color w:val="000000" w:themeColor="text1"/>
              </w:rPr>
              <w:t xml:space="preserve">Se caracterizan por ser polimórficas: pápulas, placas, manchas, </w:t>
            </w:r>
            <w:proofErr w:type="spellStart"/>
            <w:r>
              <w:rPr>
                <w:rFonts w:ascii="Arial" w:hAnsi="Arial" w:cs="Arial"/>
                <w:color w:val="000000" w:themeColor="text1"/>
              </w:rPr>
              <w:t>nodulo</w:t>
            </w:r>
            <w:proofErr w:type="spellEnd"/>
            <w:r>
              <w:rPr>
                <w:rFonts w:ascii="Arial" w:hAnsi="Arial" w:cs="Arial"/>
                <w:color w:val="000000" w:themeColor="text1"/>
              </w:rPr>
              <w:t xml:space="preserve">-tumoral, </w:t>
            </w:r>
            <w:proofErr w:type="spellStart"/>
            <w:r>
              <w:rPr>
                <w:rFonts w:ascii="Arial" w:hAnsi="Arial" w:cs="Arial"/>
                <w:color w:val="000000" w:themeColor="text1"/>
              </w:rPr>
              <w:t>eritrodérmica</w:t>
            </w:r>
            <w:proofErr w:type="spellEnd"/>
            <w:r>
              <w:rPr>
                <w:rFonts w:ascii="Arial" w:hAnsi="Arial" w:cs="Arial"/>
                <w:color w:val="000000" w:themeColor="text1"/>
              </w:rPr>
              <w:t xml:space="preserve"> y </w:t>
            </w:r>
            <w:proofErr w:type="spellStart"/>
            <w:r>
              <w:rPr>
                <w:rFonts w:ascii="Arial" w:hAnsi="Arial" w:cs="Arial"/>
                <w:color w:val="000000" w:themeColor="text1"/>
              </w:rPr>
              <w:t>purpúrica</w:t>
            </w:r>
            <w:proofErr w:type="spellEnd"/>
            <w:r>
              <w:rPr>
                <w:rFonts w:ascii="Arial" w:hAnsi="Arial" w:cs="Arial"/>
                <w:color w:val="000000" w:themeColor="text1"/>
              </w:rPr>
              <w:t>.</w:t>
            </w:r>
          </w:p>
        </w:tc>
        <w:tc>
          <w:tcPr>
            <w:tcW w:w="1542" w:type="dxa"/>
            <w:vAlign w:val="center"/>
          </w:tcPr>
          <w:p w14:paraId="4BD49A84" w14:textId="5FA514B4" w:rsidR="00386D2C" w:rsidRPr="00131250" w:rsidRDefault="00386D2C" w:rsidP="005339BA">
            <w:pPr>
              <w:jc w:val="center"/>
              <w:rPr>
                <w:rFonts w:ascii="Arial" w:hAnsi="Arial" w:cs="Arial"/>
              </w:rPr>
            </w:pPr>
            <w:r>
              <w:rPr>
                <w:rFonts w:ascii="Arial" w:hAnsi="Arial" w:cs="Arial"/>
              </w:rPr>
              <w:t>Cualitativa</w:t>
            </w:r>
          </w:p>
        </w:tc>
        <w:tc>
          <w:tcPr>
            <w:tcW w:w="1701" w:type="dxa"/>
            <w:vAlign w:val="center"/>
          </w:tcPr>
          <w:p w14:paraId="36389A63" w14:textId="251DFD74" w:rsidR="00386D2C" w:rsidRPr="00131250" w:rsidRDefault="00386D2C" w:rsidP="005339BA">
            <w:pPr>
              <w:jc w:val="center"/>
              <w:rPr>
                <w:rFonts w:ascii="Arial" w:hAnsi="Arial" w:cs="Arial"/>
              </w:rPr>
            </w:pPr>
            <w:r>
              <w:rPr>
                <w:rFonts w:ascii="Arial" w:hAnsi="Arial" w:cs="Arial"/>
              </w:rPr>
              <w:t xml:space="preserve">Nominal </w:t>
            </w:r>
          </w:p>
        </w:tc>
        <w:tc>
          <w:tcPr>
            <w:tcW w:w="2277" w:type="dxa"/>
            <w:vAlign w:val="center"/>
          </w:tcPr>
          <w:p w14:paraId="2F3D5EAB" w14:textId="48337359"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Multipapular</w:t>
            </w:r>
            <w:proofErr w:type="spellEnd"/>
            <w:r w:rsidRPr="00F639AF">
              <w:rPr>
                <w:rFonts w:ascii="Arial" w:hAnsi="Arial" w:cs="Arial"/>
              </w:rPr>
              <w:t xml:space="preserve"> =0</w:t>
            </w:r>
          </w:p>
          <w:p w14:paraId="3D5FC8E0"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placa=1</w:t>
            </w:r>
          </w:p>
          <w:p w14:paraId="7F4DE407" w14:textId="4FEC25B1"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mancha=2, </w:t>
            </w:r>
          </w:p>
          <w:p w14:paraId="7BC5249A" w14:textId="7732E672"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nódulotumoral</w:t>
            </w:r>
            <w:proofErr w:type="spellEnd"/>
            <w:r w:rsidRPr="00F639AF">
              <w:rPr>
                <w:rFonts w:ascii="Arial" w:hAnsi="Arial" w:cs="Arial"/>
              </w:rPr>
              <w:t xml:space="preserve"> =3</w:t>
            </w:r>
          </w:p>
          <w:p w14:paraId="122D59A4" w14:textId="77777777"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eritrodérmica</w:t>
            </w:r>
            <w:proofErr w:type="spellEnd"/>
            <w:r w:rsidRPr="00F639AF">
              <w:rPr>
                <w:rFonts w:ascii="Arial" w:hAnsi="Arial" w:cs="Arial"/>
              </w:rPr>
              <w:t>=4</w:t>
            </w:r>
          </w:p>
          <w:p w14:paraId="3487990A" w14:textId="1F4ABE59" w:rsidR="00CE14F3" w:rsidRPr="00F639AF" w:rsidRDefault="007E60D0" w:rsidP="00C355BF">
            <w:pPr>
              <w:pStyle w:val="Prrafodelista"/>
              <w:numPr>
                <w:ilvl w:val="0"/>
                <w:numId w:val="9"/>
              </w:numPr>
              <w:ind w:left="228" w:hanging="228"/>
              <w:rPr>
                <w:rFonts w:ascii="Arial" w:hAnsi="Arial" w:cs="Arial"/>
              </w:rPr>
            </w:pPr>
            <w:proofErr w:type="spellStart"/>
            <w:r w:rsidRPr="00F639AF">
              <w:rPr>
                <w:rFonts w:ascii="Arial" w:hAnsi="Arial" w:cs="Arial"/>
              </w:rPr>
              <w:t>Purpú</w:t>
            </w:r>
            <w:r w:rsidR="00CE14F3" w:rsidRPr="00F639AF">
              <w:rPr>
                <w:rFonts w:ascii="Arial" w:hAnsi="Arial" w:cs="Arial"/>
              </w:rPr>
              <w:t>rica</w:t>
            </w:r>
            <w:proofErr w:type="spellEnd"/>
            <w:r w:rsidR="00CE14F3" w:rsidRPr="00F639AF">
              <w:rPr>
                <w:rFonts w:ascii="Arial" w:hAnsi="Arial" w:cs="Arial"/>
              </w:rPr>
              <w:t>=5</w:t>
            </w:r>
          </w:p>
        </w:tc>
        <w:tc>
          <w:tcPr>
            <w:tcW w:w="2243" w:type="dxa"/>
            <w:vAlign w:val="center"/>
          </w:tcPr>
          <w:p w14:paraId="5106DCA3" w14:textId="29F7668A" w:rsidR="00386D2C" w:rsidRPr="00131250" w:rsidRDefault="00386D2C" w:rsidP="005339BA">
            <w:pPr>
              <w:jc w:val="center"/>
              <w:rPr>
                <w:rFonts w:ascii="Arial" w:hAnsi="Arial" w:cs="Arial"/>
              </w:rPr>
            </w:pPr>
            <w:r w:rsidRPr="00131250">
              <w:rPr>
                <w:rFonts w:ascii="Arial" w:hAnsi="Arial" w:cs="Arial"/>
              </w:rPr>
              <w:t>Reporte en la historia clínica.</w:t>
            </w:r>
          </w:p>
        </w:tc>
      </w:tr>
      <w:tr w:rsidR="00386D2C" w:rsidRPr="00131250" w14:paraId="08172002" w14:textId="77777777" w:rsidTr="007E60D0">
        <w:trPr>
          <w:trHeight w:val="784"/>
          <w:jc w:val="center"/>
        </w:trPr>
        <w:tc>
          <w:tcPr>
            <w:tcW w:w="2085" w:type="dxa"/>
            <w:vAlign w:val="center"/>
          </w:tcPr>
          <w:p w14:paraId="4F62F7ED" w14:textId="551A2F57" w:rsidR="00386D2C" w:rsidRPr="00131250" w:rsidRDefault="00386D2C" w:rsidP="005339BA">
            <w:pPr>
              <w:jc w:val="center"/>
              <w:rPr>
                <w:rFonts w:ascii="Arial" w:hAnsi="Arial" w:cs="Arial"/>
              </w:rPr>
            </w:pPr>
            <w:r w:rsidRPr="00011E37">
              <w:rPr>
                <w:rFonts w:ascii="Arial" w:hAnsi="Arial" w:cs="Arial"/>
              </w:rPr>
              <w:t>Condiciones relacionadas al HTLV-1 (</w:t>
            </w:r>
            <w:proofErr w:type="spellStart"/>
            <w:r>
              <w:rPr>
                <w:rFonts w:ascii="Arial" w:hAnsi="Arial" w:cs="Arial"/>
              </w:rPr>
              <w:t>Strongiloidiasis</w:t>
            </w:r>
            <w:proofErr w:type="spellEnd"/>
            <w:r w:rsidRPr="00011E37">
              <w:rPr>
                <w:rFonts w:ascii="Arial" w:hAnsi="Arial" w:cs="Arial"/>
              </w:rPr>
              <w:t>, TB</w:t>
            </w:r>
            <w:r>
              <w:rPr>
                <w:rFonts w:ascii="Arial" w:hAnsi="Arial" w:cs="Arial"/>
              </w:rPr>
              <w:t>C</w:t>
            </w:r>
            <w:r w:rsidRPr="00011E37">
              <w:rPr>
                <w:rFonts w:ascii="Arial" w:hAnsi="Arial" w:cs="Arial"/>
              </w:rPr>
              <w:t xml:space="preserve">, </w:t>
            </w:r>
            <w:proofErr w:type="spellStart"/>
            <w:r>
              <w:rPr>
                <w:rFonts w:ascii="Arial" w:hAnsi="Arial" w:cs="Arial"/>
              </w:rPr>
              <w:t>Paraparesia</w:t>
            </w:r>
            <w:proofErr w:type="spellEnd"/>
            <w:r>
              <w:rPr>
                <w:rFonts w:ascii="Arial" w:hAnsi="Arial" w:cs="Arial"/>
              </w:rPr>
              <w:t xml:space="preserve"> espástica tropical, </w:t>
            </w:r>
            <w:proofErr w:type="spellStart"/>
            <w:r>
              <w:rPr>
                <w:rFonts w:ascii="Arial" w:hAnsi="Arial" w:cs="Arial"/>
              </w:rPr>
              <w:t>Neumocistosis</w:t>
            </w:r>
            <w:proofErr w:type="spellEnd"/>
            <w:r>
              <w:rPr>
                <w:rFonts w:ascii="Arial" w:hAnsi="Arial" w:cs="Arial"/>
              </w:rPr>
              <w:t xml:space="preserve">, </w:t>
            </w:r>
            <w:proofErr w:type="spellStart"/>
            <w:r>
              <w:rPr>
                <w:rFonts w:ascii="Arial" w:hAnsi="Arial" w:cs="Arial"/>
              </w:rPr>
              <w:t>Sd</w:t>
            </w:r>
            <w:proofErr w:type="spellEnd"/>
            <w:r>
              <w:rPr>
                <w:rFonts w:ascii="Arial" w:hAnsi="Arial" w:cs="Arial"/>
              </w:rPr>
              <w:t xml:space="preserve">. </w:t>
            </w:r>
            <w:proofErr w:type="spellStart"/>
            <w:r w:rsidRPr="00011E37">
              <w:rPr>
                <w:rFonts w:ascii="Arial" w:hAnsi="Arial" w:cs="Arial"/>
              </w:rPr>
              <w:lastRenderedPageBreak/>
              <w:t>Sjogren</w:t>
            </w:r>
            <w:proofErr w:type="spellEnd"/>
            <w:r w:rsidRPr="00011E37">
              <w:rPr>
                <w:rFonts w:ascii="Arial" w:hAnsi="Arial" w:cs="Arial"/>
              </w:rPr>
              <w:t xml:space="preserve">, </w:t>
            </w:r>
            <w:r>
              <w:rPr>
                <w:rFonts w:ascii="Arial" w:hAnsi="Arial" w:cs="Arial"/>
              </w:rPr>
              <w:t>D</w:t>
            </w:r>
            <w:r w:rsidRPr="00011E37">
              <w:rPr>
                <w:rFonts w:ascii="Arial" w:hAnsi="Arial" w:cs="Arial"/>
              </w:rPr>
              <w:t>ermatiti</w:t>
            </w:r>
            <w:r>
              <w:rPr>
                <w:rFonts w:ascii="Arial" w:hAnsi="Arial" w:cs="Arial"/>
              </w:rPr>
              <w:t>s infectiva, otras</w:t>
            </w:r>
            <w:r w:rsidRPr="00011E37">
              <w:rPr>
                <w:rFonts w:ascii="Arial" w:hAnsi="Arial" w:cs="Arial"/>
              </w:rPr>
              <w:t>)</w:t>
            </w:r>
          </w:p>
        </w:tc>
        <w:tc>
          <w:tcPr>
            <w:tcW w:w="2169" w:type="dxa"/>
            <w:vAlign w:val="center"/>
          </w:tcPr>
          <w:p w14:paraId="22CE0C47" w14:textId="5AC50A53" w:rsidR="00386D2C" w:rsidRPr="00131250" w:rsidRDefault="00386D2C" w:rsidP="005339BA">
            <w:pPr>
              <w:jc w:val="center"/>
              <w:rPr>
                <w:rFonts w:ascii="Arial" w:hAnsi="Arial" w:cs="Arial"/>
                <w:color w:val="000000" w:themeColor="text1"/>
              </w:rPr>
            </w:pPr>
            <w:r>
              <w:rPr>
                <w:rFonts w:ascii="Arial" w:hAnsi="Arial" w:cs="Arial"/>
              </w:rPr>
              <w:lastRenderedPageBreak/>
              <w:t>Enfermedades asociadas a HTLV-1</w:t>
            </w:r>
            <w:r w:rsidRPr="00A01ECB">
              <w:rPr>
                <w:rFonts w:ascii="Arial" w:hAnsi="Arial" w:cs="Arial"/>
              </w:rPr>
              <w:t>.</w:t>
            </w:r>
          </w:p>
        </w:tc>
        <w:tc>
          <w:tcPr>
            <w:tcW w:w="1542" w:type="dxa"/>
            <w:vAlign w:val="center"/>
          </w:tcPr>
          <w:p w14:paraId="55B9B6B7" w14:textId="542A0A30" w:rsidR="00386D2C" w:rsidRPr="00131250" w:rsidRDefault="00386D2C" w:rsidP="005339BA">
            <w:pPr>
              <w:jc w:val="center"/>
              <w:rPr>
                <w:rFonts w:ascii="Arial" w:hAnsi="Arial" w:cs="Arial"/>
              </w:rPr>
            </w:pPr>
            <w:r>
              <w:rPr>
                <w:rFonts w:ascii="Arial" w:hAnsi="Arial" w:cs="Arial"/>
              </w:rPr>
              <w:t>Cualitativa</w:t>
            </w:r>
          </w:p>
        </w:tc>
        <w:tc>
          <w:tcPr>
            <w:tcW w:w="1701" w:type="dxa"/>
            <w:vAlign w:val="center"/>
          </w:tcPr>
          <w:p w14:paraId="50A369CA" w14:textId="6BD5ACD3" w:rsidR="00386D2C" w:rsidRPr="00131250" w:rsidRDefault="00386D2C" w:rsidP="005339BA">
            <w:pPr>
              <w:jc w:val="center"/>
              <w:rPr>
                <w:rFonts w:ascii="Arial" w:hAnsi="Arial" w:cs="Arial"/>
              </w:rPr>
            </w:pPr>
            <w:r>
              <w:rPr>
                <w:rFonts w:ascii="Arial" w:hAnsi="Arial" w:cs="Arial"/>
              </w:rPr>
              <w:t>Nominal</w:t>
            </w:r>
          </w:p>
        </w:tc>
        <w:tc>
          <w:tcPr>
            <w:tcW w:w="2277" w:type="dxa"/>
            <w:vAlign w:val="center"/>
          </w:tcPr>
          <w:p w14:paraId="7F540F3D" w14:textId="77777777" w:rsidR="00386D2C" w:rsidRPr="00F639AF" w:rsidRDefault="00386D2C" w:rsidP="005339BA">
            <w:pPr>
              <w:pStyle w:val="Prrafodelista"/>
              <w:numPr>
                <w:ilvl w:val="0"/>
                <w:numId w:val="9"/>
              </w:numPr>
              <w:ind w:left="228" w:hanging="228"/>
              <w:rPr>
                <w:rFonts w:ascii="Arial" w:hAnsi="Arial" w:cs="Arial"/>
              </w:rPr>
            </w:pPr>
            <w:r w:rsidRPr="00F639AF">
              <w:rPr>
                <w:rFonts w:ascii="Arial" w:hAnsi="Arial" w:cs="Arial"/>
              </w:rPr>
              <w:t>Ninguna: 0</w:t>
            </w:r>
          </w:p>
          <w:p w14:paraId="56D98946" w14:textId="77777777" w:rsidR="00386D2C" w:rsidRPr="00F639AF" w:rsidRDefault="00386D2C" w:rsidP="005339BA">
            <w:pPr>
              <w:pStyle w:val="Prrafodelista"/>
              <w:numPr>
                <w:ilvl w:val="0"/>
                <w:numId w:val="9"/>
              </w:numPr>
              <w:ind w:left="228" w:hanging="228"/>
              <w:rPr>
                <w:rFonts w:ascii="Arial" w:hAnsi="Arial" w:cs="Arial"/>
              </w:rPr>
            </w:pPr>
            <w:proofErr w:type="spellStart"/>
            <w:r w:rsidRPr="00F639AF">
              <w:rPr>
                <w:rFonts w:ascii="Arial" w:hAnsi="Arial" w:cs="Arial"/>
              </w:rPr>
              <w:t>Estrongiloidiasis</w:t>
            </w:r>
            <w:proofErr w:type="spellEnd"/>
            <w:r w:rsidRPr="00F639AF">
              <w:rPr>
                <w:rFonts w:ascii="Arial" w:hAnsi="Arial" w:cs="Arial"/>
              </w:rPr>
              <w:t>: 1</w:t>
            </w:r>
          </w:p>
          <w:p w14:paraId="727434D8" w14:textId="77777777" w:rsidR="00386D2C" w:rsidRPr="00F639AF" w:rsidRDefault="00386D2C" w:rsidP="005339BA">
            <w:pPr>
              <w:pStyle w:val="Prrafodelista"/>
              <w:numPr>
                <w:ilvl w:val="0"/>
                <w:numId w:val="9"/>
              </w:numPr>
              <w:ind w:left="228" w:hanging="228"/>
              <w:rPr>
                <w:rFonts w:ascii="Arial" w:hAnsi="Arial" w:cs="Arial"/>
              </w:rPr>
            </w:pPr>
            <w:r w:rsidRPr="00F639AF">
              <w:rPr>
                <w:rFonts w:ascii="Arial" w:hAnsi="Arial" w:cs="Arial"/>
              </w:rPr>
              <w:t>Tuberculosis:2</w:t>
            </w:r>
          </w:p>
          <w:p w14:paraId="6F1C2A51" w14:textId="77777777" w:rsidR="00386D2C" w:rsidRPr="00F639AF" w:rsidRDefault="00386D2C" w:rsidP="005339BA">
            <w:pPr>
              <w:pStyle w:val="Prrafodelista"/>
              <w:numPr>
                <w:ilvl w:val="0"/>
                <w:numId w:val="9"/>
              </w:numPr>
              <w:ind w:left="228" w:hanging="228"/>
              <w:rPr>
                <w:rFonts w:ascii="Arial" w:hAnsi="Arial" w:cs="Arial"/>
              </w:rPr>
            </w:pPr>
            <w:proofErr w:type="spellStart"/>
            <w:r w:rsidRPr="00F639AF">
              <w:rPr>
                <w:rFonts w:ascii="Arial" w:hAnsi="Arial" w:cs="Arial"/>
              </w:rPr>
              <w:t>Paraparesia</w:t>
            </w:r>
            <w:proofErr w:type="spellEnd"/>
            <w:r w:rsidRPr="00F639AF">
              <w:rPr>
                <w:rFonts w:ascii="Arial" w:hAnsi="Arial" w:cs="Arial"/>
              </w:rPr>
              <w:t xml:space="preserve"> espástica:3</w:t>
            </w:r>
          </w:p>
          <w:p w14:paraId="26905C57" w14:textId="77777777" w:rsidR="00386D2C" w:rsidRPr="00F639AF" w:rsidRDefault="00386D2C" w:rsidP="005339BA">
            <w:pPr>
              <w:pStyle w:val="Prrafodelista"/>
              <w:numPr>
                <w:ilvl w:val="0"/>
                <w:numId w:val="9"/>
              </w:numPr>
              <w:ind w:left="228" w:hanging="228"/>
              <w:rPr>
                <w:rFonts w:ascii="Arial" w:hAnsi="Arial" w:cs="Arial"/>
              </w:rPr>
            </w:pPr>
            <w:r w:rsidRPr="00F639AF">
              <w:rPr>
                <w:rFonts w:ascii="Arial" w:hAnsi="Arial" w:cs="Arial"/>
              </w:rPr>
              <w:t>Neumocistosis:4</w:t>
            </w:r>
          </w:p>
          <w:p w14:paraId="0B333346" w14:textId="77777777" w:rsidR="00386D2C" w:rsidRPr="00F639AF" w:rsidRDefault="00386D2C" w:rsidP="005339BA">
            <w:pPr>
              <w:pStyle w:val="Prrafodelista"/>
              <w:numPr>
                <w:ilvl w:val="0"/>
                <w:numId w:val="9"/>
              </w:numPr>
              <w:ind w:left="228" w:hanging="228"/>
              <w:rPr>
                <w:rFonts w:ascii="Arial" w:hAnsi="Arial" w:cs="Arial"/>
              </w:rPr>
            </w:pPr>
            <w:proofErr w:type="spellStart"/>
            <w:r w:rsidRPr="00F639AF">
              <w:rPr>
                <w:rFonts w:ascii="Arial" w:hAnsi="Arial" w:cs="Arial"/>
              </w:rPr>
              <w:t>Sd</w:t>
            </w:r>
            <w:proofErr w:type="spellEnd"/>
            <w:r w:rsidRPr="00F639AF">
              <w:rPr>
                <w:rFonts w:ascii="Arial" w:hAnsi="Arial" w:cs="Arial"/>
              </w:rPr>
              <w:t>. Sjogren:5</w:t>
            </w:r>
          </w:p>
          <w:p w14:paraId="4642CAB6" w14:textId="77777777" w:rsidR="00386D2C" w:rsidRPr="00F639AF" w:rsidRDefault="00386D2C" w:rsidP="005339BA">
            <w:pPr>
              <w:pStyle w:val="Prrafodelista"/>
              <w:numPr>
                <w:ilvl w:val="0"/>
                <w:numId w:val="9"/>
              </w:numPr>
              <w:ind w:left="228" w:hanging="228"/>
              <w:rPr>
                <w:rFonts w:ascii="Arial" w:hAnsi="Arial" w:cs="Arial"/>
              </w:rPr>
            </w:pPr>
            <w:r w:rsidRPr="00F639AF">
              <w:rPr>
                <w:rFonts w:ascii="Arial" w:hAnsi="Arial" w:cs="Arial"/>
              </w:rPr>
              <w:lastRenderedPageBreak/>
              <w:t>Dermatitis infectiva:6</w:t>
            </w:r>
          </w:p>
          <w:p w14:paraId="7ADD4849" w14:textId="77777777" w:rsidR="00386D2C" w:rsidRPr="00F639AF" w:rsidRDefault="00F639AF" w:rsidP="00C355BF">
            <w:pPr>
              <w:pStyle w:val="Prrafodelista"/>
              <w:numPr>
                <w:ilvl w:val="0"/>
                <w:numId w:val="9"/>
              </w:numPr>
              <w:ind w:left="228" w:hanging="228"/>
              <w:rPr>
                <w:rFonts w:ascii="Arial" w:hAnsi="Arial" w:cs="Arial"/>
              </w:rPr>
            </w:pPr>
            <w:r w:rsidRPr="00F639AF">
              <w:rPr>
                <w:rFonts w:ascii="Arial" w:hAnsi="Arial" w:cs="Arial"/>
              </w:rPr>
              <w:t>Uveitis</w:t>
            </w:r>
            <w:r w:rsidR="00386D2C" w:rsidRPr="00F639AF">
              <w:rPr>
                <w:rFonts w:ascii="Arial" w:hAnsi="Arial" w:cs="Arial"/>
              </w:rPr>
              <w:t>:7</w:t>
            </w:r>
          </w:p>
          <w:p w14:paraId="281E4606" w14:textId="162B1DAC" w:rsidR="00F639AF" w:rsidRPr="00F639AF" w:rsidRDefault="00F639AF" w:rsidP="00C355BF">
            <w:pPr>
              <w:pStyle w:val="Prrafodelista"/>
              <w:numPr>
                <w:ilvl w:val="0"/>
                <w:numId w:val="9"/>
              </w:numPr>
              <w:ind w:left="228" w:hanging="228"/>
              <w:rPr>
                <w:rFonts w:ascii="Arial" w:hAnsi="Arial" w:cs="Arial"/>
              </w:rPr>
            </w:pPr>
            <w:r w:rsidRPr="00F639AF">
              <w:rPr>
                <w:rFonts w:ascii="Arial" w:hAnsi="Arial" w:cs="Arial"/>
              </w:rPr>
              <w:t>Otros: 8</w:t>
            </w:r>
          </w:p>
        </w:tc>
        <w:tc>
          <w:tcPr>
            <w:tcW w:w="2243" w:type="dxa"/>
            <w:vAlign w:val="center"/>
          </w:tcPr>
          <w:p w14:paraId="2C710D47" w14:textId="1F1F0C97" w:rsidR="00386D2C" w:rsidRPr="00131250" w:rsidRDefault="00386D2C" w:rsidP="005339BA">
            <w:pPr>
              <w:jc w:val="center"/>
              <w:rPr>
                <w:rFonts w:ascii="Arial" w:hAnsi="Arial" w:cs="Arial"/>
              </w:rPr>
            </w:pPr>
            <w:r w:rsidRPr="00131250">
              <w:rPr>
                <w:rFonts w:ascii="Arial" w:hAnsi="Arial" w:cs="Arial"/>
              </w:rPr>
              <w:lastRenderedPageBreak/>
              <w:t>Reporte en la historia clínica</w:t>
            </w:r>
          </w:p>
        </w:tc>
      </w:tr>
      <w:tr w:rsidR="00386D2C" w:rsidRPr="00131250" w14:paraId="350A0744" w14:textId="77777777" w:rsidTr="007E60D0">
        <w:trPr>
          <w:trHeight w:val="61"/>
          <w:jc w:val="center"/>
        </w:trPr>
        <w:tc>
          <w:tcPr>
            <w:tcW w:w="2085" w:type="dxa"/>
            <w:vAlign w:val="center"/>
          </w:tcPr>
          <w:p w14:paraId="79E3EA49" w14:textId="77777777" w:rsidR="00386D2C" w:rsidRPr="00131250" w:rsidRDefault="00386D2C" w:rsidP="005339BA">
            <w:pPr>
              <w:jc w:val="center"/>
              <w:rPr>
                <w:rFonts w:ascii="Arial" w:hAnsi="Arial" w:cs="Arial"/>
              </w:rPr>
            </w:pPr>
            <w:r w:rsidRPr="00131250">
              <w:rPr>
                <w:rFonts w:ascii="Arial" w:hAnsi="Arial" w:cs="Arial"/>
              </w:rPr>
              <w:lastRenderedPageBreak/>
              <w:t>Neutrófilos pre-tratamiento antineoplásico</w:t>
            </w:r>
          </w:p>
        </w:tc>
        <w:tc>
          <w:tcPr>
            <w:tcW w:w="2169" w:type="dxa"/>
            <w:vAlign w:val="center"/>
          </w:tcPr>
          <w:p w14:paraId="379FD966" w14:textId="77777777" w:rsidR="00386D2C" w:rsidRPr="00131250" w:rsidRDefault="00386D2C" w:rsidP="005339BA">
            <w:pPr>
              <w:jc w:val="center"/>
              <w:rPr>
                <w:rFonts w:ascii="Arial" w:hAnsi="Arial" w:cs="Arial"/>
                <w:color w:val="000000" w:themeColor="text1"/>
              </w:rPr>
            </w:pPr>
            <w:r w:rsidRPr="00131250">
              <w:rPr>
                <w:rFonts w:ascii="Arial" w:hAnsi="Arial" w:cs="Arial"/>
                <w:color w:val="000000" w:themeColor="text1"/>
              </w:rPr>
              <w:t>Glóbulo blanco de tipo granulocito, de producción en la médula ósea</w:t>
            </w:r>
          </w:p>
        </w:tc>
        <w:tc>
          <w:tcPr>
            <w:tcW w:w="1542" w:type="dxa"/>
            <w:vAlign w:val="center"/>
          </w:tcPr>
          <w:p w14:paraId="0A63E0AB" w14:textId="77777777" w:rsidR="00386D2C" w:rsidRPr="00131250" w:rsidRDefault="00386D2C" w:rsidP="005339BA">
            <w:pPr>
              <w:jc w:val="center"/>
              <w:rPr>
                <w:rFonts w:ascii="Arial" w:hAnsi="Arial" w:cs="Arial"/>
              </w:rPr>
            </w:pPr>
            <w:r w:rsidRPr="00131250">
              <w:rPr>
                <w:rFonts w:ascii="Arial" w:hAnsi="Arial" w:cs="Arial"/>
              </w:rPr>
              <w:t>Cuantitativa discreta</w:t>
            </w:r>
          </w:p>
        </w:tc>
        <w:tc>
          <w:tcPr>
            <w:tcW w:w="1701" w:type="dxa"/>
            <w:vAlign w:val="center"/>
          </w:tcPr>
          <w:p w14:paraId="34AEC5F5" w14:textId="77777777" w:rsidR="00386D2C" w:rsidRPr="00131250" w:rsidRDefault="00386D2C" w:rsidP="005339BA">
            <w:pPr>
              <w:jc w:val="center"/>
              <w:rPr>
                <w:rFonts w:ascii="Arial" w:hAnsi="Arial" w:cs="Arial"/>
              </w:rPr>
            </w:pPr>
            <w:r w:rsidRPr="00131250">
              <w:rPr>
                <w:rFonts w:ascii="Arial" w:hAnsi="Arial" w:cs="Arial"/>
              </w:rPr>
              <w:t>Razón</w:t>
            </w:r>
          </w:p>
        </w:tc>
        <w:tc>
          <w:tcPr>
            <w:tcW w:w="2277" w:type="dxa"/>
            <w:vAlign w:val="center"/>
          </w:tcPr>
          <w:p w14:paraId="2FED0692" w14:textId="750D0E44" w:rsidR="00386D2C" w:rsidRPr="00F639AF" w:rsidRDefault="00863AA6" w:rsidP="005339BA">
            <w:pPr>
              <w:pStyle w:val="Prrafodelista"/>
              <w:ind w:left="241"/>
              <w:rPr>
                <w:rFonts w:ascii="Arial" w:hAnsi="Arial" w:cs="Arial"/>
              </w:rPr>
            </w:pPr>
            <w:r>
              <w:rPr>
                <w:rFonts w:ascii="Arial" w:hAnsi="Arial" w:cs="Arial"/>
              </w:rPr>
              <w:t>0 -</w:t>
            </w:r>
            <w:r w:rsidR="00386D2C" w:rsidRPr="00F639AF">
              <w:rPr>
                <w:rFonts w:ascii="Arial" w:hAnsi="Arial" w:cs="Arial"/>
              </w:rPr>
              <w:t>100 000</w:t>
            </w:r>
          </w:p>
        </w:tc>
        <w:tc>
          <w:tcPr>
            <w:tcW w:w="2243" w:type="dxa"/>
            <w:vAlign w:val="center"/>
          </w:tcPr>
          <w:p w14:paraId="3321DC37" w14:textId="4775823C" w:rsidR="00386D2C" w:rsidRPr="00131250" w:rsidRDefault="00386D2C" w:rsidP="005339BA">
            <w:pPr>
              <w:jc w:val="center"/>
              <w:rPr>
                <w:rFonts w:ascii="Arial" w:hAnsi="Arial" w:cs="Arial"/>
              </w:rPr>
            </w:pPr>
            <w:r w:rsidRPr="00131250">
              <w:rPr>
                <w:rFonts w:ascii="Arial" w:hAnsi="Arial" w:cs="Arial"/>
              </w:rPr>
              <w:t>Hemograma previo a primer tratamiento antineoplásico</w:t>
            </w:r>
            <w:r w:rsidR="00F639AF">
              <w:rPr>
                <w:rFonts w:ascii="Arial" w:hAnsi="Arial" w:cs="Arial"/>
              </w:rPr>
              <w:t xml:space="preserve"> o al debut</w:t>
            </w:r>
          </w:p>
        </w:tc>
      </w:tr>
      <w:tr w:rsidR="00386D2C" w:rsidRPr="00131250" w14:paraId="52C15E18" w14:textId="77777777" w:rsidTr="007E60D0">
        <w:trPr>
          <w:trHeight w:val="61"/>
          <w:jc w:val="center"/>
        </w:trPr>
        <w:tc>
          <w:tcPr>
            <w:tcW w:w="2085" w:type="dxa"/>
            <w:vAlign w:val="center"/>
          </w:tcPr>
          <w:p w14:paraId="5CC59B03" w14:textId="77777777" w:rsidR="00386D2C" w:rsidRPr="00131250" w:rsidRDefault="00386D2C" w:rsidP="005339BA">
            <w:pPr>
              <w:jc w:val="center"/>
              <w:rPr>
                <w:rFonts w:ascii="Arial" w:hAnsi="Arial" w:cs="Arial"/>
              </w:rPr>
            </w:pPr>
            <w:r w:rsidRPr="00131250">
              <w:rPr>
                <w:rFonts w:ascii="Arial" w:hAnsi="Arial" w:cs="Arial"/>
              </w:rPr>
              <w:t>Linfocitos pre-tratamiento antineoplásico</w:t>
            </w:r>
          </w:p>
        </w:tc>
        <w:tc>
          <w:tcPr>
            <w:tcW w:w="2169" w:type="dxa"/>
            <w:vAlign w:val="center"/>
          </w:tcPr>
          <w:p w14:paraId="23D89DBB" w14:textId="77777777" w:rsidR="00386D2C" w:rsidRPr="00131250" w:rsidRDefault="00386D2C" w:rsidP="005339BA">
            <w:pPr>
              <w:jc w:val="center"/>
              <w:rPr>
                <w:rFonts w:ascii="Arial" w:hAnsi="Arial" w:cs="Arial"/>
                <w:color w:val="000000" w:themeColor="text1"/>
              </w:rPr>
            </w:pPr>
            <w:r w:rsidRPr="00131250">
              <w:rPr>
                <w:rFonts w:ascii="Arial" w:hAnsi="Arial" w:cs="Arial"/>
                <w:color w:val="000000" w:themeColor="text1"/>
              </w:rPr>
              <w:t>Célula sanguínea de pequeño tamaño, responsable de la respuesta inmunitaria.</w:t>
            </w:r>
          </w:p>
        </w:tc>
        <w:tc>
          <w:tcPr>
            <w:tcW w:w="1542" w:type="dxa"/>
            <w:vAlign w:val="center"/>
          </w:tcPr>
          <w:p w14:paraId="4827C807" w14:textId="77777777" w:rsidR="00386D2C" w:rsidRPr="00131250" w:rsidRDefault="00386D2C" w:rsidP="005339BA">
            <w:pPr>
              <w:jc w:val="center"/>
              <w:rPr>
                <w:rFonts w:ascii="Arial" w:hAnsi="Arial" w:cs="Arial"/>
              </w:rPr>
            </w:pPr>
            <w:r w:rsidRPr="00131250">
              <w:rPr>
                <w:rFonts w:ascii="Arial" w:hAnsi="Arial" w:cs="Arial"/>
              </w:rPr>
              <w:t>Cuantitativa discreta</w:t>
            </w:r>
          </w:p>
        </w:tc>
        <w:tc>
          <w:tcPr>
            <w:tcW w:w="1701" w:type="dxa"/>
            <w:vAlign w:val="center"/>
          </w:tcPr>
          <w:p w14:paraId="39319E1E" w14:textId="77777777" w:rsidR="00386D2C" w:rsidRPr="00131250" w:rsidRDefault="00386D2C" w:rsidP="005339BA">
            <w:pPr>
              <w:jc w:val="center"/>
              <w:rPr>
                <w:rFonts w:ascii="Arial" w:hAnsi="Arial" w:cs="Arial"/>
              </w:rPr>
            </w:pPr>
            <w:r w:rsidRPr="00131250">
              <w:rPr>
                <w:rFonts w:ascii="Arial" w:hAnsi="Arial" w:cs="Arial"/>
              </w:rPr>
              <w:t>Razón</w:t>
            </w:r>
          </w:p>
        </w:tc>
        <w:tc>
          <w:tcPr>
            <w:tcW w:w="2277" w:type="dxa"/>
            <w:vAlign w:val="center"/>
          </w:tcPr>
          <w:p w14:paraId="3F8BBC1E" w14:textId="7B5EC392" w:rsidR="00386D2C" w:rsidRPr="00F639AF" w:rsidRDefault="00863AA6" w:rsidP="005339BA">
            <w:pPr>
              <w:pStyle w:val="Prrafodelista"/>
              <w:ind w:left="241"/>
              <w:rPr>
                <w:rFonts w:ascii="Arial" w:hAnsi="Arial" w:cs="Arial"/>
              </w:rPr>
            </w:pPr>
            <w:r>
              <w:rPr>
                <w:rFonts w:ascii="Arial" w:hAnsi="Arial" w:cs="Arial"/>
              </w:rPr>
              <w:t>0 -</w:t>
            </w:r>
            <w:r w:rsidR="00386D2C" w:rsidRPr="00F639AF">
              <w:rPr>
                <w:rFonts w:ascii="Arial" w:hAnsi="Arial" w:cs="Arial"/>
              </w:rPr>
              <w:t xml:space="preserve"> 100 000</w:t>
            </w:r>
          </w:p>
        </w:tc>
        <w:tc>
          <w:tcPr>
            <w:tcW w:w="2243" w:type="dxa"/>
            <w:vAlign w:val="center"/>
          </w:tcPr>
          <w:p w14:paraId="6EBC8EDB" w14:textId="021202BB" w:rsidR="00386D2C" w:rsidRPr="00131250" w:rsidRDefault="00386D2C" w:rsidP="005339BA">
            <w:pPr>
              <w:jc w:val="center"/>
              <w:rPr>
                <w:rFonts w:ascii="Arial" w:hAnsi="Arial" w:cs="Arial"/>
              </w:rPr>
            </w:pPr>
            <w:r w:rsidRPr="00131250">
              <w:rPr>
                <w:rFonts w:ascii="Arial" w:hAnsi="Arial" w:cs="Arial"/>
              </w:rPr>
              <w:t>Hemograma previo a primer tratamiento antineoplásico</w:t>
            </w:r>
            <w:r w:rsidR="00F639AF">
              <w:rPr>
                <w:rFonts w:ascii="Arial" w:hAnsi="Arial" w:cs="Arial"/>
              </w:rPr>
              <w:t xml:space="preserve"> o al debut</w:t>
            </w:r>
          </w:p>
        </w:tc>
      </w:tr>
      <w:tr w:rsidR="00386D2C" w:rsidRPr="00131250" w14:paraId="12963AA2" w14:textId="77777777" w:rsidTr="007E60D0">
        <w:trPr>
          <w:trHeight w:val="61"/>
          <w:jc w:val="center"/>
        </w:trPr>
        <w:tc>
          <w:tcPr>
            <w:tcW w:w="2085" w:type="dxa"/>
            <w:vAlign w:val="center"/>
          </w:tcPr>
          <w:p w14:paraId="5F43A658" w14:textId="18A02E30" w:rsidR="00386D2C" w:rsidRPr="00131250" w:rsidRDefault="00386D2C" w:rsidP="005339BA">
            <w:pPr>
              <w:jc w:val="center"/>
              <w:rPr>
                <w:rFonts w:ascii="Arial" w:hAnsi="Arial" w:cs="Arial"/>
              </w:rPr>
            </w:pPr>
            <w:r w:rsidRPr="00131250">
              <w:rPr>
                <w:rFonts w:ascii="Arial" w:hAnsi="Arial" w:cs="Arial"/>
              </w:rPr>
              <w:t>Monocitos pre-tratamiento antineoplásico</w:t>
            </w:r>
            <w:r w:rsidR="002919F0">
              <w:rPr>
                <w:rFonts w:ascii="Arial" w:hAnsi="Arial" w:cs="Arial"/>
              </w:rPr>
              <w:t xml:space="preserve"> o al debut de enfermedad</w:t>
            </w:r>
          </w:p>
        </w:tc>
        <w:tc>
          <w:tcPr>
            <w:tcW w:w="2169" w:type="dxa"/>
            <w:vAlign w:val="center"/>
          </w:tcPr>
          <w:p w14:paraId="41515FD3" w14:textId="77777777" w:rsidR="00386D2C" w:rsidRPr="00131250" w:rsidRDefault="00386D2C" w:rsidP="005339BA">
            <w:pPr>
              <w:jc w:val="center"/>
              <w:rPr>
                <w:rFonts w:ascii="Arial" w:hAnsi="Arial" w:cs="Arial"/>
                <w:color w:val="000000" w:themeColor="text1"/>
              </w:rPr>
            </w:pPr>
            <w:r w:rsidRPr="00131250">
              <w:rPr>
                <w:rFonts w:ascii="Arial" w:hAnsi="Arial" w:cs="Arial"/>
                <w:color w:val="000000" w:themeColor="text1"/>
              </w:rPr>
              <w:t>Célula sanguínea responsable de la producción de macrófagos, de producción a nivel médula ósea</w:t>
            </w:r>
          </w:p>
        </w:tc>
        <w:tc>
          <w:tcPr>
            <w:tcW w:w="1542" w:type="dxa"/>
            <w:vAlign w:val="center"/>
          </w:tcPr>
          <w:p w14:paraId="69D60408" w14:textId="77777777" w:rsidR="00386D2C" w:rsidRPr="00131250" w:rsidRDefault="00386D2C" w:rsidP="005339BA">
            <w:pPr>
              <w:jc w:val="center"/>
              <w:rPr>
                <w:rFonts w:ascii="Arial" w:hAnsi="Arial" w:cs="Arial"/>
              </w:rPr>
            </w:pPr>
            <w:r w:rsidRPr="00131250">
              <w:rPr>
                <w:rFonts w:ascii="Arial" w:hAnsi="Arial" w:cs="Arial"/>
              </w:rPr>
              <w:t>Cuantitativa discreta</w:t>
            </w:r>
          </w:p>
        </w:tc>
        <w:tc>
          <w:tcPr>
            <w:tcW w:w="1701" w:type="dxa"/>
            <w:vAlign w:val="center"/>
          </w:tcPr>
          <w:p w14:paraId="526593B4" w14:textId="77777777" w:rsidR="00386D2C" w:rsidRPr="00131250" w:rsidRDefault="00386D2C" w:rsidP="005339BA">
            <w:pPr>
              <w:jc w:val="center"/>
              <w:rPr>
                <w:rFonts w:ascii="Arial" w:hAnsi="Arial" w:cs="Arial"/>
              </w:rPr>
            </w:pPr>
            <w:r w:rsidRPr="00131250">
              <w:rPr>
                <w:rFonts w:ascii="Arial" w:hAnsi="Arial" w:cs="Arial"/>
              </w:rPr>
              <w:t>Razón</w:t>
            </w:r>
          </w:p>
        </w:tc>
        <w:tc>
          <w:tcPr>
            <w:tcW w:w="2277" w:type="dxa"/>
            <w:vAlign w:val="center"/>
          </w:tcPr>
          <w:p w14:paraId="1DE03057" w14:textId="77528CF7" w:rsidR="00386D2C" w:rsidRPr="00F639AF" w:rsidRDefault="00863AA6" w:rsidP="005339BA">
            <w:pPr>
              <w:pStyle w:val="Prrafodelista"/>
              <w:ind w:left="241"/>
              <w:rPr>
                <w:rFonts w:ascii="Arial" w:hAnsi="Arial" w:cs="Arial"/>
              </w:rPr>
            </w:pPr>
            <w:r>
              <w:rPr>
                <w:rFonts w:ascii="Arial" w:hAnsi="Arial" w:cs="Arial"/>
              </w:rPr>
              <w:t>0 -</w:t>
            </w:r>
            <w:r w:rsidR="00386D2C" w:rsidRPr="00F639AF">
              <w:rPr>
                <w:rFonts w:ascii="Arial" w:hAnsi="Arial" w:cs="Arial"/>
              </w:rPr>
              <w:t xml:space="preserve"> 100 000</w:t>
            </w:r>
          </w:p>
        </w:tc>
        <w:tc>
          <w:tcPr>
            <w:tcW w:w="2243" w:type="dxa"/>
            <w:vAlign w:val="center"/>
          </w:tcPr>
          <w:p w14:paraId="3CAB4C2D" w14:textId="07FF65A0" w:rsidR="00386D2C" w:rsidRPr="00131250" w:rsidRDefault="00386D2C" w:rsidP="005339BA">
            <w:pPr>
              <w:jc w:val="center"/>
              <w:rPr>
                <w:rFonts w:ascii="Arial" w:hAnsi="Arial" w:cs="Arial"/>
              </w:rPr>
            </w:pPr>
            <w:r w:rsidRPr="00131250">
              <w:rPr>
                <w:rFonts w:ascii="Arial" w:hAnsi="Arial" w:cs="Arial"/>
              </w:rPr>
              <w:t>Hemograma previo a primer tratamiento antineoplásico</w:t>
            </w:r>
            <w:r w:rsidR="00F639AF">
              <w:rPr>
                <w:rFonts w:ascii="Arial" w:hAnsi="Arial" w:cs="Arial"/>
              </w:rPr>
              <w:t xml:space="preserve"> o al debut</w:t>
            </w:r>
          </w:p>
        </w:tc>
      </w:tr>
      <w:tr w:rsidR="00F639AF" w:rsidRPr="00131250" w14:paraId="32F202A5" w14:textId="77777777" w:rsidTr="007E60D0">
        <w:trPr>
          <w:trHeight w:val="61"/>
          <w:jc w:val="center"/>
        </w:trPr>
        <w:tc>
          <w:tcPr>
            <w:tcW w:w="2085" w:type="dxa"/>
            <w:vAlign w:val="center"/>
          </w:tcPr>
          <w:p w14:paraId="3C4B184B" w14:textId="0FE5CC45" w:rsidR="00F639AF" w:rsidRPr="00131250" w:rsidRDefault="00F639AF" w:rsidP="005339BA">
            <w:pPr>
              <w:jc w:val="center"/>
              <w:rPr>
                <w:rFonts w:ascii="Arial" w:hAnsi="Arial" w:cs="Arial"/>
              </w:rPr>
            </w:pPr>
            <w:r>
              <w:rPr>
                <w:rFonts w:ascii="Arial" w:hAnsi="Arial" w:cs="Arial"/>
              </w:rPr>
              <w:t>Plaquetas pre-tratamiento o al debut de la enfermedad</w:t>
            </w:r>
          </w:p>
        </w:tc>
        <w:tc>
          <w:tcPr>
            <w:tcW w:w="2169" w:type="dxa"/>
            <w:vAlign w:val="center"/>
          </w:tcPr>
          <w:p w14:paraId="185BB1B7" w14:textId="6F9A6D7D" w:rsidR="00F639AF" w:rsidRDefault="00F639AF" w:rsidP="00F639AF">
            <w:pPr>
              <w:jc w:val="center"/>
              <w:rPr>
                <w:sz w:val="24"/>
                <w:szCs w:val="24"/>
              </w:rPr>
            </w:pPr>
            <w:r>
              <w:rPr>
                <w:rFonts w:ascii="Arial" w:hAnsi="Arial" w:cs="Arial"/>
                <w:color w:val="222222"/>
                <w:shd w:val="clear" w:color="auto" w:fill="FFFFFF"/>
              </w:rPr>
              <w:t>C</w:t>
            </w:r>
            <w:r>
              <w:rPr>
                <w:rFonts w:ascii="Arial" w:hAnsi="Arial" w:cs="Arial"/>
                <w:color w:val="222222"/>
                <w:shd w:val="clear" w:color="auto" w:fill="FFFFFF"/>
              </w:rPr>
              <w:t xml:space="preserve">élula </w:t>
            </w:r>
            <w:r>
              <w:rPr>
                <w:rFonts w:ascii="Arial" w:hAnsi="Arial" w:cs="Arial"/>
                <w:color w:val="222222"/>
                <w:shd w:val="clear" w:color="auto" w:fill="FFFFFF"/>
              </w:rPr>
              <w:t>sanguínea</w:t>
            </w:r>
            <w:r>
              <w:rPr>
                <w:rFonts w:ascii="Arial" w:hAnsi="Arial" w:cs="Arial"/>
                <w:color w:val="222222"/>
                <w:shd w:val="clear" w:color="auto" w:fill="FFFFFF"/>
              </w:rPr>
              <w:t xml:space="preserve"> pequeña y sin núcleo, </w:t>
            </w:r>
            <w:r>
              <w:rPr>
                <w:rFonts w:ascii="Arial" w:hAnsi="Arial" w:cs="Arial"/>
                <w:color w:val="222222"/>
                <w:shd w:val="clear" w:color="auto" w:fill="FFFFFF"/>
              </w:rPr>
              <w:t>que</w:t>
            </w:r>
            <w:r>
              <w:rPr>
                <w:rFonts w:ascii="Arial" w:hAnsi="Arial" w:cs="Arial"/>
                <w:color w:val="222222"/>
                <w:shd w:val="clear" w:color="auto" w:fill="FFFFFF"/>
              </w:rPr>
              <w:t xml:space="preserve"> interviene en la coagulación de la sangre.</w:t>
            </w:r>
          </w:p>
          <w:p w14:paraId="27EFD6E1" w14:textId="77777777" w:rsidR="00F639AF" w:rsidRPr="00131250" w:rsidRDefault="00F639AF" w:rsidP="005339BA">
            <w:pPr>
              <w:jc w:val="center"/>
              <w:rPr>
                <w:rFonts w:ascii="Arial" w:hAnsi="Arial" w:cs="Arial"/>
                <w:color w:val="000000" w:themeColor="text1"/>
              </w:rPr>
            </w:pPr>
          </w:p>
        </w:tc>
        <w:tc>
          <w:tcPr>
            <w:tcW w:w="1542" w:type="dxa"/>
            <w:vAlign w:val="center"/>
          </w:tcPr>
          <w:p w14:paraId="37134337" w14:textId="42275765" w:rsidR="00F639AF" w:rsidRPr="00131250" w:rsidRDefault="00F639AF" w:rsidP="005339BA">
            <w:pPr>
              <w:jc w:val="center"/>
              <w:rPr>
                <w:rFonts w:ascii="Arial" w:hAnsi="Arial" w:cs="Arial"/>
              </w:rPr>
            </w:pPr>
            <w:r w:rsidRPr="00131250">
              <w:rPr>
                <w:rFonts w:ascii="Arial" w:hAnsi="Arial" w:cs="Arial"/>
              </w:rPr>
              <w:t>Cuantitativa discreta</w:t>
            </w:r>
          </w:p>
        </w:tc>
        <w:tc>
          <w:tcPr>
            <w:tcW w:w="1701" w:type="dxa"/>
            <w:vAlign w:val="center"/>
          </w:tcPr>
          <w:p w14:paraId="790667C6" w14:textId="65E3A24B" w:rsidR="00F639AF" w:rsidRPr="00131250" w:rsidRDefault="00F639AF" w:rsidP="005339BA">
            <w:pPr>
              <w:jc w:val="center"/>
              <w:rPr>
                <w:rFonts w:ascii="Arial" w:hAnsi="Arial" w:cs="Arial"/>
              </w:rPr>
            </w:pPr>
            <w:r w:rsidRPr="00131250">
              <w:rPr>
                <w:rFonts w:ascii="Arial" w:hAnsi="Arial" w:cs="Arial"/>
              </w:rPr>
              <w:t>Razón</w:t>
            </w:r>
          </w:p>
        </w:tc>
        <w:tc>
          <w:tcPr>
            <w:tcW w:w="2277" w:type="dxa"/>
            <w:vAlign w:val="center"/>
          </w:tcPr>
          <w:p w14:paraId="05C80C1F" w14:textId="51229EC7" w:rsidR="00F639AF" w:rsidRPr="00F639AF" w:rsidRDefault="00863AA6" w:rsidP="005339BA">
            <w:pPr>
              <w:pStyle w:val="Prrafodelista"/>
              <w:ind w:left="241"/>
              <w:rPr>
                <w:rFonts w:ascii="Arial" w:hAnsi="Arial" w:cs="Arial"/>
              </w:rPr>
            </w:pPr>
            <w:r>
              <w:rPr>
                <w:rFonts w:ascii="Arial" w:hAnsi="Arial" w:cs="Arial"/>
              </w:rPr>
              <w:t>0 - 450 000</w:t>
            </w:r>
          </w:p>
        </w:tc>
        <w:tc>
          <w:tcPr>
            <w:tcW w:w="2243" w:type="dxa"/>
            <w:vAlign w:val="center"/>
          </w:tcPr>
          <w:p w14:paraId="6685B808" w14:textId="6BEA6C9D" w:rsidR="00F639AF" w:rsidRPr="00131250" w:rsidRDefault="00F639AF" w:rsidP="005339BA">
            <w:pPr>
              <w:jc w:val="center"/>
              <w:rPr>
                <w:rFonts w:ascii="Arial" w:hAnsi="Arial" w:cs="Arial"/>
              </w:rPr>
            </w:pPr>
            <w:r w:rsidRPr="00131250">
              <w:rPr>
                <w:rFonts w:ascii="Arial" w:hAnsi="Arial" w:cs="Arial"/>
              </w:rPr>
              <w:t>Hemograma previo a primer tratamiento antineoplásico</w:t>
            </w:r>
            <w:r>
              <w:rPr>
                <w:rFonts w:ascii="Arial" w:hAnsi="Arial" w:cs="Arial"/>
              </w:rPr>
              <w:t xml:space="preserve"> o al debut</w:t>
            </w:r>
          </w:p>
        </w:tc>
      </w:tr>
      <w:tr w:rsidR="00386D2C" w:rsidRPr="00131250" w14:paraId="27E7C69F" w14:textId="77777777" w:rsidTr="007E60D0">
        <w:trPr>
          <w:trHeight w:val="61"/>
          <w:jc w:val="center"/>
        </w:trPr>
        <w:tc>
          <w:tcPr>
            <w:tcW w:w="2085" w:type="dxa"/>
            <w:vAlign w:val="center"/>
          </w:tcPr>
          <w:p w14:paraId="28541BFD" w14:textId="273E35BC" w:rsidR="00386D2C" w:rsidRPr="00131250" w:rsidRDefault="00386D2C" w:rsidP="005339BA">
            <w:pPr>
              <w:jc w:val="center"/>
              <w:rPr>
                <w:rFonts w:ascii="Arial" w:hAnsi="Arial" w:cs="Arial"/>
              </w:rPr>
            </w:pPr>
            <w:r w:rsidRPr="00131250">
              <w:rPr>
                <w:rFonts w:ascii="Arial" w:hAnsi="Arial" w:cs="Arial"/>
              </w:rPr>
              <w:t>Albúmina pre-tratamiento antineoplásico</w:t>
            </w:r>
            <w:r w:rsidR="002919F0">
              <w:rPr>
                <w:rFonts w:ascii="Arial" w:hAnsi="Arial" w:cs="Arial"/>
              </w:rPr>
              <w:t xml:space="preserve"> o al debut de enfermedad</w:t>
            </w:r>
          </w:p>
        </w:tc>
        <w:tc>
          <w:tcPr>
            <w:tcW w:w="2169" w:type="dxa"/>
            <w:vAlign w:val="center"/>
          </w:tcPr>
          <w:p w14:paraId="3DC28929" w14:textId="77777777" w:rsidR="00386D2C" w:rsidRPr="00131250" w:rsidRDefault="00386D2C" w:rsidP="005339BA">
            <w:pPr>
              <w:jc w:val="center"/>
              <w:rPr>
                <w:rFonts w:ascii="Arial" w:hAnsi="Arial" w:cs="Arial"/>
                <w:color w:val="000000" w:themeColor="text1"/>
              </w:rPr>
            </w:pPr>
            <w:r w:rsidRPr="00131250">
              <w:rPr>
                <w:rFonts w:ascii="Arial" w:hAnsi="Arial" w:cs="Arial"/>
                <w:color w:val="000000" w:themeColor="text1"/>
              </w:rPr>
              <w:t xml:space="preserve">Proteína de producción hepática, que se encuentra a nivel plasmático, responsable de la presión </w:t>
            </w:r>
            <w:proofErr w:type="spellStart"/>
            <w:r w:rsidRPr="00131250">
              <w:rPr>
                <w:rFonts w:ascii="Arial" w:hAnsi="Arial" w:cs="Arial"/>
                <w:color w:val="000000" w:themeColor="text1"/>
              </w:rPr>
              <w:t>oncótica</w:t>
            </w:r>
            <w:proofErr w:type="spellEnd"/>
            <w:r w:rsidRPr="00131250">
              <w:rPr>
                <w:rFonts w:ascii="Arial" w:hAnsi="Arial" w:cs="Arial"/>
                <w:color w:val="000000" w:themeColor="text1"/>
              </w:rPr>
              <w:t>.</w:t>
            </w:r>
          </w:p>
        </w:tc>
        <w:tc>
          <w:tcPr>
            <w:tcW w:w="1542" w:type="dxa"/>
            <w:vAlign w:val="center"/>
          </w:tcPr>
          <w:p w14:paraId="6B14B1F9" w14:textId="203EC60E" w:rsidR="00386D2C" w:rsidRPr="00131250" w:rsidRDefault="00386D2C" w:rsidP="002919F0">
            <w:pPr>
              <w:jc w:val="center"/>
              <w:rPr>
                <w:rFonts w:ascii="Arial" w:hAnsi="Arial" w:cs="Arial"/>
              </w:rPr>
            </w:pPr>
            <w:r w:rsidRPr="00131250">
              <w:rPr>
                <w:rFonts w:ascii="Arial" w:hAnsi="Arial" w:cs="Arial"/>
              </w:rPr>
              <w:t>Cua</w:t>
            </w:r>
            <w:r w:rsidR="002919F0">
              <w:rPr>
                <w:rFonts w:ascii="Arial" w:hAnsi="Arial" w:cs="Arial"/>
              </w:rPr>
              <w:t>litativa</w:t>
            </w:r>
            <w:r w:rsidRPr="00131250">
              <w:rPr>
                <w:rFonts w:ascii="Arial" w:hAnsi="Arial" w:cs="Arial"/>
              </w:rPr>
              <w:t xml:space="preserve"> </w:t>
            </w:r>
            <w:r w:rsidR="002919F0">
              <w:rPr>
                <w:rFonts w:ascii="Arial" w:hAnsi="Arial" w:cs="Arial"/>
              </w:rPr>
              <w:t>dicotómica</w:t>
            </w:r>
          </w:p>
        </w:tc>
        <w:tc>
          <w:tcPr>
            <w:tcW w:w="1701" w:type="dxa"/>
            <w:vAlign w:val="center"/>
          </w:tcPr>
          <w:p w14:paraId="13FC939F" w14:textId="0E8AFB1A" w:rsidR="00386D2C" w:rsidRPr="00131250" w:rsidRDefault="002919F0" w:rsidP="005339BA">
            <w:pPr>
              <w:jc w:val="center"/>
              <w:rPr>
                <w:rFonts w:ascii="Arial" w:hAnsi="Arial" w:cs="Arial"/>
              </w:rPr>
            </w:pPr>
            <w:r>
              <w:rPr>
                <w:rFonts w:ascii="Arial" w:hAnsi="Arial" w:cs="Arial"/>
              </w:rPr>
              <w:t>Nominal</w:t>
            </w:r>
          </w:p>
        </w:tc>
        <w:tc>
          <w:tcPr>
            <w:tcW w:w="2277" w:type="dxa"/>
            <w:vAlign w:val="center"/>
          </w:tcPr>
          <w:p w14:paraId="60B0CA96" w14:textId="5B5027A3"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Normal: 0</w:t>
            </w:r>
          </w:p>
          <w:p w14:paraId="5BB7FF78" w14:textId="511CF569" w:rsidR="00386D2C"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Baja: 1</w:t>
            </w:r>
          </w:p>
        </w:tc>
        <w:tc>
          <w:tcPr>
            <w:tcW w:w="2243" w:type="dxa"/>
            <w:vAlign w:val="center"/>
          </w:tcPr>
          <w:p w14:paraId="3CD08E16" w14:textId="5602D583" w:rsidR="00386D2C" w:rsidRPr="00131250" w:rsidRDefault="00386D2C" w:rsidP="005339BA">
            <w:pPr>
              <w:jc w:val="center"/>
              <w:rPr>
                <w:rFonts w:ascii="Arial" w:hAnsi="Arial" w:cs="Arial"/>
              </w:rPr>
            </w:pPr>
            <w:r w:rsidRPr="00131250">
              <w:rPr>
                <w:rFonts w:ascii="Arial" w:hAnsi="Arial" w:cs="Arial"/>
              </w:rPr>
              <w:t>Perfil hepático previo a primer tratamiento antineoplásico</w:t>
            </w:r>
            <w:r w:rsidR="00F639AF">
              <w:rPr>
                <w:rFonts w:ascii="Arial" w:hAnsi="Arial" w:cs="Arial"/>
              </w:rPr>
              <w:t xml:space="preserve"> o al debut</w:t>
            </w:r>
          </w:p>
        </w:tc>
      </w:tr>
      <w:tr w:rsidR="00386D2C" w:rsidRPr="00131250" w14:paraId="57BEC40E" w14:textId="77777777" w:rsidTr="007E60D0">
        <w:trPr>
          <w:trHeight w:val="61"/>
          <w:jc w:val="center"/>
        </w:trPr>
        <w:tc>
          <w:tcPr>
            <w:tcW w:w="2085" w:type="dxa"/>
            <w:vAlign w:val="center"/>
          </w:tcPr>
          <w:p w14:paraId="3FF2D2F4" w14:textId="77777777" w:rsidR="002919F0" w:rsidRDefault="002919F0" w:rsidP="007D35C7">
            <w:pPr>
              <w:rPr>
                <w:rFonts w:ascii="Arial" w:hAnsi="Arial" w:cs="Arial"/>
              </w:rPr>
            </w:pPr>
          </w:p>
          <w:p w14:paraId="6F389B5F" w14:textId="5418A674" w:rsidR="00386D2C" w:rsidRDefault="00386D2C" w:rsidP="007D35C7">
            <w:pPr>
              <w:rPr>
                <w:rFonts w:ascii="Arial" w:hAnsi="Arial" w:cs="Arial"/>
              </w:rPr>
            </w:pPr>
            <w:r w:rsidRPr="00131250">
              <w:rPr>
                <w:rFonts w:ascii="Arial" w:hAnsi="Arial" w:cs="Arial"/>
              </w:rPr>
              <w:t>LDH pre-tratamiento antineoplásico</w:t>
            </w:r>
            <w:r w:rsidR="002919F0">
              <w:rPr>
                <w:rFonts w:ascii="Arial" w:hAnsi="Arial" w:cs="Arial"/>
              </w:rPr>
              <w:t xml:space="preserve"> o al debut de enfermedad</w:t>
            </w:r>
          </w:p>
          <w:p w14:paraId="69AD7F20" w14:textId="77777777" w:rsidR="002919F0" w:rsidRDefault="002919F0" w:rsidP="005339BA">
            <w:pPr>
              <w:jc w:val="center"/>
              <w:rPr>
                <w:rFonts w:ascii="Arial" w:hAnsi="Arial" w:cs="Arial"/>
              </w:rPr>
            </w:pPr>
          </w:p>
          <w:p w14:paraId="01BB996F" w14:textId="77777777" w:rsidR="002919F0" w:rsidRPr="00131250" w:rsidRDefault="002919F0" w:rsidP="005339BA">
            <w:pPr>
              <w:jc w:val="center"/>
              <w:rPr>
                <w:rFonts w:ascii="Arial" w:hAnsi="Arial" w:cs="Arial"/>
              </w:rPr>
            </w:pPr>
          </w:p>
        </w:tc>
        <w:tc>
          <w:tcPr>
            <w:tcW w:w="2169" w:type="dxa"/>
            <w:vAlign w:val="center"/>
          </w:tcPr>
          <w:p w14:paraId="14F9D85F" w14:textId="77777777" w:rsidR="00386D2C" w:rsidRPr="00131250" w:rsidRDefault="00386D2C" w:rsidP="005339BA">
            <w:pPr>
              <w:jc w:val="center"/>
              <w:rPr>
                <w:rFonts w:ascii="Arial" w:hAnsi="Arial" w:cs="Arial"/>
                <w:color w:val="000000" w:themeColor="text1"/>
              </w:rPr>
            </w:pPr>
            <w:r w:rsidRPr="00131250">
              <w:rPr>
                <w:rFonts w:ascii="Arial" w:hAnsi="Arial" w:cs="Arial"/>
                <w:color w:val="000000" w:themeColor="text1"/>
              </w:rPr>
              <w:lastRenderedPageBreak/>
              <w:t>Enzima catalizadora de lactato a ácido pirúvico</w:t>
            </w:r>
          </w:p>
        </w:tc>
        <w:tc>
          <w:tcPr>
            <w:tcW w:w="1542" w:type="dxa"/>
            <w:vAlign w:val="center"/>
          </w:tcPr>
          <w:p w14:paraId="4FEE6BF6" w14:textId="02EC7A52" w:rsidR="00386D2C" w:rsidRPr="00131250" w:rsidRDefault="002919F0" w:rsidP="005339BA">
            <w:pPr>
              <w:jc w:val="center"/>
              <w:rPr>
                <w:rFonts w:ascii="Arial" w:hAnsi="Arial" w:cs="Arial"/>
              </w:rPr>
            </w:pPr>
            <w:r w:rsidRPr="00131250">
              <w:rPr>
                <w:rFonts w:ascii="Arial" w:hAnsi="Arial" w:cs="Arial"/>
              </w:rPr>
              <w:t>Cua</w:t>
            </w:r>
            <w:r>
              <w:rPr>
                <w:rFonts w:ascii="Arial" w:hAnsi="Arial" w:cs="Arial"/>
              </w:rPr>
              <w:t>litativa</w:t>
            </w:r>
            <w:r w:rsidRPr="00131250">
              <w:rPr>
                <w:rFonts w:ascii="Arial" w:hAnsi="Arial" w:cs="Arial"/>
              </w:rPr>
              <w:t xml:space="preserve"> </w:t>
            </w:r>
            <w:r>
              <w:rPr>
                <w:rFonts w:ascii="Arial" w:hAnsi="Arial" w:cs="Arial"/>
              </w:rPr>
              <w:t>dicotómica</w:t>
            </w:r>
          </w:p>
        </w:tc>
        <w:tc>
          <w:tcPr>
            <w:tcW w:w="1701" w:type="dxa"/>
            <w:vAlign w:val="center"/>
          </w:tcPr>
          <w:p w14:paraId="08B096BC" w14:textId="35C1D18A" w:rsidR="00386D2C" w:rsidRPr="00131250" w:rsidRDefault="002919F0" w:rsidP="005339BA">
            <w:pPr>
              <w:jc w:val="center"/>
              <w:rPr>
                <w:rFonts w:ascii="Arial" w:hAnsi="Arial" w:cs="Arial"/>
              </w:rPr>
            </w:pPr>
            <w:r>
              <w:rPr>
                <w:rFonts w:ascii="Arial" w:hAnsi="Arial" w:cs="Arial"/>
              </w:rPr>
              <w:t>Nominal</w:t>
            </w:r>
          </w:p>
        </w:tc>
        <w:tc>
          <w:tcPr>
            <w:tcW w:w="2277" w:type="dxa"/>
            <w:vAlign w:val="center"/>
          </w:tcPr>
          <w:p w14:paraId="4E5767DE" w14:textId="77777777"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Normal: 0</w:t>
            </w:r>
          </w:p>
          <w:p w14:paraId="79936004" w14:textId="0C1CB7C9" w:rsidR="00386D2C" w:rsidRPr="00F639AF" w:rsidRDefault="00F639AF" w:rsidP="002919F0">
            <w:pPr>
              <w:pStyle w:val="Prrafodelista"/>
              <w:numPr>
                <w:ilvl w:val="0"/>
                <w:numId w:val="10"/>
              </w:numPr>
              <w:ind w:left="241" w:hanging="241"/>
              <w:rPr>
                <w:rFonts w:ascii="Arial" w:hAnsi="Arial" w:cs="Arial"/>
              </w:rPr>
            </w:pPr>
            <w:r w:rsidRPr="00F639AF">
              <w:rPr>
                <w:rFonts w:ascii="Arial" w:hAnsi="Arial" w:cs="Arial"/>
              </w:rPr>
              <w:t>Alto</w:t>
            </w:r>
            <w:r w:rsidR="002919F0" w:rsidRPr="00F639AF">
              <w:rPr>
                <w:rFonts w:ascii="Arial" w:hAnsi="Arial" w:cs="Arial"/>
              </w:rPr>
              <w:t>: 1</w:t>
            </w:r>
          </w:p>
        </w:tc>
        <w:tc>
          <w:tcPr>
            <w:tcW w:w="2243" w:type="dxa"/>
            <w:vAlign w:val="center"/>
          </w:tcPr>
          <w:p w14:paraId="25D782B9" w14:textId="45C5E2B9" w:rsidR="00386D2C" w:rsidRPr="00131250" w:rsidRDefault="00386D2C" w:rsidP="005339BA">
            <w:pPr>
              <w:jc w:val="center"/>
              <w:rPr>
                <w:rFonts w:ascii="Arial" w:hAnsi="Arial" w:cs="Arial"/>
              </w:rPr>
            </w:pPr>
            <w:r w:rsidRPr="00131250">
              <w:rPr>
                <w:rFonts w:ascii="Arial" w:hAnsi="Arial" w:cs="Arial"/>
              </w:rPr>
              <w:t>Examen de LDH previo a primer tratamiento antineoplásico</w:t>
            </w:r>
            <w:r w:rsidR="00F639AF">
              <w:rPr>
                <w:rFonts w:ascii="Arial" w:hAnsi="Arial" w:cs="Arial"/>
              </w:rPr>
              <w:t xml:space="preserve"> o al debut</w:t>
            </w:r>
          </w:p>
        </w:tc>
      </w:tr>
      <w:tr w:rsidR="002919F0" w:rsidRPr="00131250" w14:paraId="60B8FA6E" w14:textId="77777777" w:rsidTr="007E60D0">
        <w:trPr>
          <w:trHeight w:val="61"/>
          <w:jc w:val="center"/>
        </w:trPr>
        <w:tc>
          <w:tcPr>
            <w:tcW w:w="2085" w:type="dxa"/>
            <w:vAlign w:val="center"/>
          </w:tcPr>
          <w:p w14:paraId="6193BCCC" w14:textId="77777777" w:rsidR="002919F0" w:rsidRDefault="002919F0" w:rsidP="005339BA">
            <w:pPr>
              <w:jc w:val="center"/>
              <w:rPr>
                <w:rFonts w:ascii="Arial" w:hAnsi="Arial" w:cs="Arial"/>
              </w:rPr>
            </w:pPr>
          </w:p>
          <w:p w14:paraId="48D39092" w14:textId="794515F6" w:rsidR="002919F0" w:rsidRDefault="002919F0" w:rsidP="002919F0">
            <w:pPr>
              <w:rPr>
                <w:rFonts w:ascii="Arial" w:hAnsi="Arial" w:cs="Arial"/>
              </w:rPr>
            </w:pPr>
            <w:r>
              <w:rPr>
                <w:rFonts w:ascii="Arial" w:hAnsi="Arial" w:cs="Arial"/>
              </w:rPr>
              <w:t xml:space="preserve">      Calcio sérico</w:t>
            </w:r>
          </w:p>
          <w:p w14:paraId="5AA4F342" w14:textId="7449A889" w:rsidR="002919F0" w:rsidRPr="00131250" w:rsidRDefault="002919F0" w:rsidP="005339BA">
            <w:pPr>
              <w:jc w:val="center"/>
              <w:rPr>
                <w:rFonts w:ascii="Arial" w:hAnsi="Arial" w:cs="Arial"/>
              </w:rPr>
            </w:pPr>
          </w:p>
        </w:tc>
        <w:tc>
          <w:tcPr>
            <w:tcW w:w="2169" w:type="dxa"/>
            <w:vAlign w:val="center"/>
          </w:tcPr>
          <w:p w14:paraId="051510E2" w14:textId="567DDD91" w:rsidR="002919F0" w:rsidRPr="00131250" w:rsidRDefault="007D35C7" w:rsidP="007D35C7">
            <w:pPr>
              <w:jc w:val="center"/>
              <w:rPr>
                <w:rFonts w:ascii="Arial" w:hAnsi="Arial" w:cs="Arial"/>
                <w:color w:val="000000" w:themeColor="text1"/>
              </w:rPr>
            </w:pPr>
            <w:r>
              <w:rPr>
                <w:rFonts w:ascii="Arial" w:hAnsi="Arial" w:cs="Arial"/>
                <w:color w:val="000000" w:themeColor="text1"/>
              </w:rPr>
              <w:t>Es el nivel</w:t>
            </w:r>
            <w:r w:rsidR="00F4610D" w:rsidRPr="00F4610D">
              <w:rPr>
                <w:rFonts w:ascii="Arial" w:hAnsi="Arial" w:cs="Arial"/>
                <w:color w:val="000000" w:themeColor="text1"/>
              </w:rPr>
              <w:t xml:space="preserve"> de calcio </w:t>
            </w:r>
            <w:r>
              <w:rPr>
                <w:rFonts w:ascii="Arial" w:hAnsi="Arial" w:cs="Arial"/>
                <w:color w:val="000000" w:themeColor="text1"/>
              </w:rPr>
              <w:t xml:space="preserve">en </w:t>
            </w:r>
            <w:r w:rsidR="00F4610D" w:rsidRPr="00F4610D">
              <w:rPr>
                <w:rFonts w:ascii="Arial" w:hAnsi="Arial" w:cs="Arial"/>
                <w:color w:val="000000" w:themeColor="text1"/>
              </w:rPr>
              <w:t>sangre.</w:t>
            </w:r>
          </w:p>
        </w:tc>
        <w:tc>
          <w:tcPr>
            <w:tcW w:w="1542" w:type="dxa"/>
            <w:vAlign w:val="center"/>
          </w:tcPr>
          <w:p w14:paraId="143562C7" w14:textId="6C258612" w:rsidR="002919F0" w:rsidRPr="00131250" w:rsidRDefault="002919F0" w:rsidP="005339BA">
            <w:pPr>
              <w:jc w:val="center"/>
              <w:rPr>
                <w:rFonts w:ascii="Arial" w:hAnsi="Arial" w:cs="Arial"/>
              </w:rPr>
            </w:pPr>
            <w:r w:rsidRPr="00131250">
              <w:rPr>
                <w:rFonts w:ascii="Arial" w:hAnsi="Arial" w:cs="Arial"/>
              </w:rPr>
              <w:t>Cua</w:t>
            </w:r>
            <w:r>
              <w:rPr>
                <w:rFonts w:ascii="Arial" w:hAnsi="Arial" w:cs="Arial"/>
              </w:rPr>
              <w:t>litativa</w:t>
            </w:r>
            <w:r w:rsidRPr="00131250">
              <w:rPr>
                <w:rFonts w:ascii="Arial" w:hAnsi="Arial" w:cs="Arial"/>
              </w:rPr>
              <w:t xml:space="preserve"> </w:t>
            </w:r>
            <w:r>
              <w:rPr>
                <w:rFonts w:ascii="Arial" w:hAnsi="Arial" w:cs="Arial"/>
              </w:rPr>
              <w:t>dicotómica</w:t>
            </w:r>
          </w:p>
        </w:tc>
        <w:tc>
          <w:tcPr>
            <w:tcW w:w="1701" w:type="dxa"/>
            <w:vAlign w:val="center"/>
          </w:tcPr>
          <w:p w14:paraId="5F1B3A5E" w14:textId="6790769E" w:rsidR="002919F0" w:rsidRPr="00131250" w:rsidRDefault="002919F0" w:rsidP="005339BA">
            <w:pPr>
              <w:jc w:val="center"/>
              <w:rPr>
                <w:rFonts w:ascii="Arial" w:hAnsi="Arial" w:cs="Arial"/>
              </w:rPr>
            </w:pPr>
            <w:r>
              <w:rPr>
                <w:rFonts w:ascii="Arial" w:hAnsi="Arial" w:cs="Arial"/>
              </w:rPr>
              <w:t>Nominal</w:t>
            </w:r>
          </w:p>
        </w:tc>
        <w:tc>
          <w:tcPr>
            <w:tcW w:w="2277" w:type="dxa"/>
            <w:vAlign w:val="center"/>
          </w:tcPr>
          <w:p w14:paraId="51C67F1A" w14:textId="77777777"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Normal: 0</w:t>
            </w:r>
          </w:p>
          <w:p w14:paraId="329B0C54" w14:textId="5C232CB9"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Alta:       1</w:t>
            </w:r>
          </w:p>
        </w:tc>
        <w:tc>
          <w:tcPr>
            <w:tcW w:w="2243" w:type="dxa"/>
            <w:vAlign w:val="center"/>
          </w:tcPr>
          <w:p w14:paraId="0134C6BD" w14:textId="6B9292FE" w:rsidR="002919F0" w:rsidRPr="00131250" w:rsidRDefault="002919F0" w:rsidP="002919F0">
            <w:pPr>
              <w:jc w:val="center"/>
              <w:rPr>
                <w:rFonts w:ascii="Arial" w:hAnsi="Arial" w:cs="Arial"/>
              </w:rPr>
            </w:pPr>
            <w:r w:rsidRPr="00131250">
              <w:rPr>
                <w:rFonts w:ascii="Arial" w:hAnsi="Arial" w:cs="Arial"/>
              </w:rPr>
              <w:t xml:space="preserve">Examen de </w:t>
            </w:r>
            <w:r>
              <w:rPr>
                <w:rFonts w:ascii="Arial" w:hAnsi="Arial" w:cs="Arial"/>
              </w:rPr>
              <w:t xml:space="preserve">Calcio sérico </w:t>
            </w:r>
          </w:p>
        </w:tc>
      </w:tr>
      <w:tr w:rsidR="002919F0" w:rsidRPr="00131250" w14:paraId="1894A469" w14:textId="77777777" w:rsidTr="007E60D0">
        <w:trPr>
          <w:trHeight w:val="61"/>
          <w:jc w:val="center"/>
        </w:trPr>
        <w:tc>
          <w:tcPr>
            <w:tcW w:w="2085" w:type="dxa"/>
            <w:vAlign w:val="center"/>
          </w:tcPr>
          <w:p w14:paraId="19741575" w14:textId="77777777" w:rsidR="002919F0" w:rsidRDefault="002919F0" w:rsidP="001F02EC">
            <w:pPr>
              <w:jc w:val="center"/>
              <w:rPr>
                <w:rFonts w:ascii="Arial" w:hAnsi="Arial" w:cs="Arial"/>
              </w:rPr>
            </w:pPr>
          </w:p>
          <w:p w14:paraId="1567DDA8" w14:textId="2F566F84" w:rsidR="002919F0" w:rsidRDefault="002919F0" w:rsidP="001F02EC">
            <w:pPr>
              <w:jc w:val="center"/>
              <w:rPr>
                <w:rFonts w:ascii="Arial" w:hAnsi="Arial" w:cs="Arial"/>
              </w:rPr>
            </w:pPr>
            <w:r>
              <w:rPr>
                <w:rFonts w:ascii="Arial" w:hAnsi="Arial" w:cs="Arial"/>
              </w:rPr>
              <w:t>RDW- CV</w:t>
            </w:r>
            <w:r w:rsidR="00E71231">
              <w:rPr>
                <w:rFonts w:ascii="Arial" w:hAnsi="Arial" w:cs="Arial"/>
              </w:rPr>
              <w:t xml:space="preserve"> (</w:t>
            </w:r>
            <w:r>
              <w:rPr>
                <w:rFonts w:ascii="Arial" w:hAnsi="Arial" w:cs="Arial"/>
              </w:rPr>
              <w:t xml:space="preserve">Amplitud de distribución </w:t>
            </w:r>
            <w:proofErr w:type="spellStart"/>
            <w:r>
              <w:rPr>
                <w:rFonts w:ascii="Arial" w:hAnsi="Arial" w:cs="Arial"/>
              </w:rPr>
              <w:t>eritrocitaria</w:t>
            </w:r>
            <w:proofErr w:type="spellEnd"/>
            <w:r w:rsidR="002C7F2D">
              <w:rPr>
                <w:rFonts w:ascii="Arial" w:hAnsi="Arial" w:cs="Arial"/>
              </w:rPr>
              <w:t xml:space="preserve">- </w:t>
            </w:r>
            <w:r w:rsidR="00E71231">
              <w:rPr>
                <w:rFonts w:ascii="Arial" w:hAnsi="Arial" w:cs="Arial"/>
              </w:rPr>
              <w:t xml:space="preserve">desviación </w:t>
            </w:r>
            <w:proofErr w:type="spellStart"/>
            <w:r w:rsidR="00E71231">
              <w:rPr>
                <w:rFonts w:ascii="Arial" w:hAnsi="Arial" w:cs="Arial"/>
              </w:rPr>
              <w:t>estándard</w:t>
            </w:r>
            <w:proofErr w:type="spellEnd"/>
            <w:r>
              <w:rPr>
                <w:rFonts w:ascii="Arial" w:hAnsi="Arial" w:cs="Arial"/>
              </w:rPr>
              <w:t>)</w:t>
            </w:r>
          </w:p>
          <w:p w14:paraId="6E311EC2" w14:textId="77777777" w:rsidR="002919F0" w:rsidRDefault="002919F0" w:rsidP="001F02EC">
            <w:pPr>
              <w:jc w:val="center"/>
              <w:rPr>
                <w:rFonts w:ascii="Arial" w:hAnsi="Arial" w:cs="Arial"/>
              </w:rPr>
            </w:pPr>
          </w:p>
        </w:tc>
        <w:tc>
          <w:tcPr>
            <w:tcW w:w="2169" w:type="dxa"/>
            <w:vAlign w:val="center"/>
          </w:tcPr>
          <w:p w14:paraId="6D75DE74" w14:textId="79D85713" w:rsidR="002919F0" w:rsidRPr="001F02EC" w:rsidRDefault="00E71231" w:rsidP="001F02EC">
            <w:r>
              <w:rPr>
                <w:rFonts w:ascii="Arial" w:hAnsi="Arial" w:cs="Arial"/>
                <w:color w:val="222222"/>
                <w:shd w:val="clear" w:color="auto" w:fill="FFFFFF"/>
              </w:rPr>
              <w:t xml:space="preserve">Es una medición real de la anchura del histograma distribución del tamaño de </w:t>
            </w:r>
            <w:r w:rsidR="001F02EC">
              <w:rPr>
                <w:rFonts w:ascii="Arial" w:hAnsi="Arial" w:cs="Arial"/>
                <w:color w:val="222222"/>
                <w:shd w:val="clear" w:color="auto" w:fill="FFFFFF"/>
              </w:rPr>
              <w:t xml:space="preserve">los glóbulos rojos y se representa en </w:t>
            </w:r>
            <w:proofErr w:type="spellStart"/>
            <w:r w:rsidR="001F02EC" w:rsidRPr="00AB48E8">
              <w:t>fl</w:t>
            </w:r>
            <w:proofErr w:type="spellEnd"/>
            <w:r w:rsidR="001F02EC">
              <w:t>.</w:t>
            </w:r>
          </w:p>
        </w:tc>
        <w:tc>
          <w:tcPr>
            <w:tcW w:w="1542" w:type="dxa"/>
            <w:vAlign w:val="center"/>
          </w:tcPr>
          <w:p w14:paraId="5DE3EA38" w14:textId="6E011767" w:rsidR="002919F0" w:rsidRPr="00131250" w:rsidRDefault="002919F0" w:rsidP="005339BA">
            <w:pPr>
              <w:jc w:val="center"/>
              <w:rPr>
                <w:rFonts w:ascii="Arial" w:hAnsi="Arial" w:cs="Arial"/>
              </w:rPr>
            </w:pPr>
            <w:r w:rsidRPr="00131250">
              <w:rPr>
                <w:rFonts w:ascii="Arial" w:hAnsi="Arial" w:cs="Arial"/>
              </w:rPr>
              <w:t>Cua</w:t>
            </w:r>
            <w:r>
              <w:rPr>
                <w:rFonts w:ascii="Arial" w:hAnsi="Arial" w:cs="Arial"/>
              </w:rPr>
              <w:t>litativa</w:t>
            </w:r>
            <w:r w:rsidRPr="00131250">
              <w:rPr>
                <w:rFonts w:ascii="Arial" w:hAnsi="Arial" w:cs="Arial"/>
              </w:rPr>
              <w:t xml:space="preserve"> </w:t>
            </w:r>
            <w:r>
              <w:rPr>
                <w:rFonts w:ascii="Arial" w:hAnsi="Arial" w:cs="Arial"/>
              </w:rPr>
              <w:t>dicotómica</w:t>
            </w:r>
          </w:p>
        </w:tc>
        <w:tc>
          <w:tcPr>
            <w:tcW w:w="1701" w:type="dxa"/>
            <w:vAlign w:val="center"/>
          </w:tcPr>
          <w:p w14:paraId="0B9D5DB5" w14:textId="20FB51B4" w:rsidR="002919F0" w:rsidRPr="00F639AF" w:rsidRDefault="002919F0" w:rsidP="005339BA">
            <w:pPr>
              <w:jc w:val="center"/>
              <w:rPr>
                <w:rFonts w:ascii="Arial" w:hAnsi="Arial" w:cs="Arial"/>
              </w:rPr>
            </w:pPr>
            <w:r w:rsidRPr="00F639AF">
              <w:rPr>
                <w:rFonts w:ascii="Arial" w:hAnsi="Arial" w:cs="Arial"/>
              </w:rPr>
              <w:t>Nominal</w:t>
            </w:r>
          </w:p>
        </w:tc>
        <w:tc>
          <w:tcPr>
            <w:tcW w:w="2277" w:type="dxa"/>
            <w:vAlign w:val="center"/>
          </w:tcPr>
          <w:p w14:paraId="48FE3A41" w14:textId="77777777"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Normal: 0</w:t>
            </w:r>
          </w:p>
          <w:p w14:paraId="2F20A9CB" w14:textId="5C0DBDFB" w:rsidR="002919F0" w:rsidRPr="00F639AF" w:rsidRDefault="002919F0" w:rsidP="002919F0">
            <w:pPr>
              <w:pStyle w:val="Prrafodelista"/>
              <w:numPr>
                <w:ilvl w:val="0"/>
                <w:numId w:val="10"/>
              </w:numPr>
              <w:ind w:left="241" w:hanging="241"/>
              <w:rPr>
                <w:rFonts w:ascii="Arial" w:hAnsi="Arial" w:cs="Arial"/>
              </w:rPr>
            </w:pPr>
            <w:r w:rsidRPr="00F639AF">
              <w:rPr>
                <w:rFonts w:ascii="Arial" w:hAnsi="Arial" w:cs="Arial"/>
              </w:rPr>
              <w:t>Alta:       1</w:t>
            </w:r>
          </w:p>
        </w:tc>
        <w:tc>
          <w:tcPr>
            <w:tcW w:w="2243" w:type="dxa"/>
            <w:vAlign w:val="center"/>
          </w:tcPr>
          <w:p w14:paraId="131E9DB3" w14:textId="72EC29EC" w:rsidR="002919F0" w:rsidRPr="00131250" w:rsidRDefault="002919F0" w:rsidP="002919F0">
            <w:pPr>
              <w:jc w:val="center"/>
              <w:rPr>
                <w:rFonts w:ascii="Arial" w:hAnsi="Arial" w:cs="Arial"/>
              </w:rPr>
            </w:pPr>
            <w:r>
              <w:rPr>
                <w:rFonts w:ascii="Arial" w:hAnsi="Arial" w:cs="Arial"/>
              </w:rPr>
              <w:t>Examen de RDW en sangre</w:t>
            </w:r>
          </w:p>
        </w:tc>
      </w:tr>
      <w:tr w:rsidR="002C7F2D" w:rsidRPr="00131250" w14:paraId="1231298A" w14:textId="77777777" w:rsidTr="007E60D0">
        <w:trPr>
          <w:trHeight w:val="61"/>
          <w:jc w:val="center"/>
        </w:trPr>
        <w:tc>
          <w:tcPr>
            <w:tcW w:w="2085" w:type="dxa"/>
            <w:vAlign w:val="center"/>
          </w:tcPr>
          <w:p w14:paraId="1E6B9737" w14:textId="77777777" w:rsidR="002C7F2D" w:rsidRDefault="002C7F2D" w:rsidP="002C7F2D">
            <w:pPr>
              <w:jc w:val="center"/>
              <w:rPr>
                <w:rFonts w:ascii="Arial" w:hAnsi="Arial" w:cs="Arial"/>
              </w:rPr>
            </w:pPr>
          </w:p>
          <w:p w14:paraId="143DA9FA" w14:textId="753C24B4" w:rsidR="002C7F2D" w:rsidRDefault="002C7F2D" w:rsidP="002C7F2D">
            <w:pPr>
              <w:jc w:val="center"/>
              <w:rPr>
                <w:rFonts w:ascii="Arial" w:hAnsi="Arial" w:cs="Arial"/>
              </w:rPr>
            </w:pPr>
            <w:r>
              <w:rPr>
                <w:rFonts w:ascii="Arial" w:hAnsi="Arial" w:cs="Arial"/>
              </w:rPr>
              <w:t>RDW</w:t>
            </w:r>
            <w:r w:rsidR="00AB48E8">
              <w:rPr>
                <w:rFonts w:ascii="Arial" w:hAnsi="Arial" w:cs="Arial"/>
              </w:rPr>
              <w:t>- SD</w:t>
            </w:r>
            <w:r w:rsidR="001F02EC">
              <w:rPr>
                <w:rFonts w:ascii="Arial" w:hAnsi="Arial" w:cs="Arial"/>
              </w:rPr>
              <w:t xml:space="preserve"> (</w:t>
            </w:r>
            <w:r>
              <w:rPr>
                <w:rFonts w:ascii="Arial" w:hAnsi="Arial" w:cs="Arial"/>
              </w:rPr>
              <w:t xml:space="preserve">Amplitud de distribución </w:t>
            </w:r>
            <w:proofErr w:type="spellStart"/>
            <w:r>
              <w:rPr>
                <w:rFonts w:ascii="Arial" w:hAnsi="Arial" w:cs="Arial"/>
              </w:rPr>
              <w:t>eritrocitaria</w:t>
            </w:r>
            <w:proofErr w:type="spellEnd"/>
            <w:r>
              <w:rPr>
                <w:rFonts w:ascii="Arial" w:hAnsi="Arial" w:cs="Arial"/>
              </w:rPr>
              <w:t>-)</w:t>
            </w:r>
            <w:r w:rsidR="00E71231">
              <w:rPr>
                <w:rFonts w:ascii="Arial" w:hAnsi="Arial" w:cs="Arial"/>
              </w:rPr>
              <w:t xml:space="preserve"> coeficiente de variación</w:t>
            </w:r>
          </w:p>
          <w:p w14:paraId="6232593A" w14:textId="77777777" w:rsidR="002C7F2D" w:rsidRDefault="002C7F2D" w:rsidP="005339BA">
            <w:pPr>
              <w:jc w:val="center"/>
              <w:rPr>
                <w:rFonts w:ascii="Arial" w:hAnsi="Arial" w:cs="Arial"/>
              </w:rPr>
            </w:pPr>
          </w:p>
        </w:tc>
        <w:tc>
          <w:tcPr>
            <w:tcW w:w="2169" w:type="dxa"/>
            <w:vAlign w:val="center"/>
          </w:tcPr>
          <w:p w14:paraId="5833BC48" w14:textId="7ECC85E4" w:rsidR="001F02EC" w:rsidRDefault="001F02EC" w:rsidP="001F02EC">
            <w:pPr>
              <w:rPr>
                <w:sz w:val="24"/>
                <w:szCs w:val="24"/>
              </w:rPr>
            </w:pPr>
            <w:r>
              <w:rPr>
                <w:rFonts w:ascii="Arial" w:hAnsi="Arial" w:cs="Arial"/>
                <w:color w:val="222222"/>
                <w:shd w:val="clear" w:color="auto" w:fill="FFFFFF"/>
              </w:rPr>
              <w:t>Se calcula a partir de la desviación estándar y volumen corpuscular medio. Se representa en %.</w:t>
            </w:r>
          </w:p>
          <w:p w14:paraId="4095F078" w14:textId="77777777" w:rsidR="002C7F2D" w:rsidRPr="00131250" w:rsidRDefault="002C7F2D" w:rsidP="001F02EC">
            <w:pPr>
              <w:rPr>
                <w:rFonts w:ascii="Arial" w:hAnsi="Arial" w:cs="Arial"/>
                <w:color w:val="000000" w:themeColor="text1"/>
              </w:rPr>
            </w:pPr>
          </w:p>
        </w:tc>
        <w:tc>
          <w:tcPr>
            <w:tcW w:w="1542" w:type="dxa"/>
            <w:vAlign w:val="center"/>
          </w:tcPr>
          <w:p w14:paraId="533702BC" w14:textId="0BE9A2D6" w:rsidR="002C7F2D" w:rsidRPr="00131250" w:rsidRDefault="002C7F2D" w:rsidP="005339BA">
            <w:pPr>
              <w:jc w:val="center"/>
              <w:rPr>
                <w:rFonts w:ascii="Arial" w:hAnsi="Arial" w:cs="Arial"/>
              </w:rPr>
            </w:pPr>
            <w:r w:rsidRPr="00131250">
              <w:rPr>
                <w:rFonts w:ascii="Arial" w:hAnsi="Arial" w:cs="Arial"/>
              </w:rPr>
              <w:t>Cua</w:t>
            </w:r>
            <w:r>
              <w:rPr>
                <w:rFonts w:ascii="Arial" w:hAnsi="Arial" w:cs="Arial"/>
              </w:rPr>
              <w:t>litativa</w:t>
            </w:r>
            <w:r w:rsidRPr="00131250">
              <w:rPr>
                <w:rFonts w:ascii="Arial" w:hAnsi="Arial" w:cs="Arial"/>
              </w:rPr>
              <w:t xml:space="preserve"> </w:t>
            </w:r>
            <w:r>
              <w:rPr>
                <w:rFonts w:ascii="Arial" w:hAnsi="Arial" w:cs="Arial"/>
              </w:rPr>
              <w:t>dicotómica</w:t>
            </w:r>
          </w:p>
        </w:tc>
        <w:tc>
          <w:tcPr>
            <w:tcW w:w="1701" w:type="dxa"/>
            <w:vAlign w:val="center"/>
          </w:tcPr>
          <w:p w14:paraId="0070C9A8" w14:textId="20A04AB6" w:rsidR="002C7F2D" w:rsidRPr="00F639AF" w:rsidRDefault="002C7F2D" w:rsidP="005339BA">
            <w:pPr>
              <w:jc w:val="center"/>
              <w:rPr>
                <w:rFonts w:ascii="Arial" w:hAnsi="Arial" w:cs="Arial"/>
              </w:rPr>
            </w:pPr>
            <w:r w:rsidRPr="00F639AF">
              <w:rPr>
                <w:rFonts w:ascii="Arial" w:hAnsi="Arial" w:cs="Arial"/>
              </w:rPr>
              <w:t>Nominal</w:t>
            </w:r>
          </w:p>
        </w:tc>
        <w:tc>
          <w:tcPr>
            <w:tcW w:w="2277" w:type="dxa"/>
            <w:vAlign w:val="center"/>
          </w:tcPr>
          <w:p w14:paraId="7FDF6FBE" w14:textId="77777777" w:rsidR="002C7F2D" w:rsidRPr="00F639AF" w:rsidRDefault="002C7F2D" w:rsidP="002C7F2D">
            <w:pPr>
              <w:pStyle w:val="Prrafodelista"/>
              <w:numPr>
                <w:ilvl w:val="0"/>
                <w:numId w:val="10"/>
              </w:numPr>
              <w:ind w:left="241" w:hanging="241"/>
              <w:rPr>
                <w:rFonts w:ascii="Arial" w:hAnsi="Arial" w:cs="Arial"/>
              </w:rPr>
            </w:pPr>
            <w:r w:rsidRPr="00F639AF">
              <w:rPr>
                <w:rFonts w:ascii="Arial" w:hAnsi="Arial" w:cs="Arial"/>
              </w:rPr>
              <w:t>Normal: 0</w:t>
            </w:r>
          </w:p>
          <w:p w14:paraId="01F4DFF7" w14:textId="39CEBA8B" w:rsidR="002C7F2D" w:rsidRPr="00F639AF" w:rsidRDefault="002C7F2D" w:rsidP="002C7F2D">
            <w:pPr>
              <w:pStyle w:val="Prrafodelista"/>
              <w:numPr>
                <w:ilvl w:val="0"/>
                <w:numId w:val="10"/>
              </w:numPr>
              <w:ind w:left="241" w:hanging="241"/>
              <w:rPr>
                <w:rFonts w:ascii="Arial" w:hAnsi="Arial" w:cs="Arial"/>
              </w:rPr>
            </w:pPr>
            <w:r w:rsidRPr="00F639AF">
              <w:rPr>
                <w:rFonts w:ascii="Arial" w:hAnsi="Arial" w:cs="Arial"/>
              </w:rPr>
              <w:t>Alta:       1</w:t>
            </w:r>
          </w:p>
        </w:tc>
        <w:tc>
          <w:tcPr>
            <w:tcW w:w="2243" w:type="dxa"/>
            <w:vAlign w:val="center"/>
          </w:tcPr>
          <w:p w14:paraId="2A40C779" w14:textId="767F02C5" w:rsidR="002C7F2D" w:rsidRDefault="002C7F2D" w:rsidP="002919F0">
            <w:pPr>
              <w:jc w:val="center"/>
              <w:rPr>
                <w:rFonts w:ascii="Arial" w:hAnsi="Arial" w:cs="Arial"/>
              </w:rPr>
            </w:pPr>
            <w:r>
              <w:rPr>
                <w:rFonts w:ascii="Arial" w:hAnsi="Arial" w:cs="Arial"/>
              </w:rPr>
              <w:t>Examen de RDW en sangre</w:t>
            </w:r>
          </w:p>
        </w:tc>
      </w:tr>
      <w:tr w:rsidR="00386D2C" w:rsidRPr="00131250" w14:paraId="6996102B" w14:textId="77777777" w:rsidTr="007E60D0">
        <w:trPr>
          <w:trHeight w:val="61"/>
          <w:jc w:val="center"/>
        </w:trPr>
        <w:tc>
          <w:tcPr>
            <w:tcW w:w="2085" w:type="dxa"/>
            <w:vAlign w:val="center"/>
          </w:tcPr>
          <w:p w14:paraId="4C74268D" w14:textId="77777777" w:rsidR="00386D2C" w:rsidRPr="0069147C" w:rsidRDefault="00386D2C" w:rsidP="005339BA">
            <w:pPr>
              <w:jc w:val="center"/>
              <w:rPr>
                <w:rFonts w:ascii="Arial" w:hAnsi="Arial" w:cs="Arial"/>
              </w:rPr>
            </w:pPr>
            <w:r w:rsidRPr="0069147C">
              <w:rPr>
                <w:rFonts w:ascii="Arial" w:hAnsi="Arial" w:cs="Arial"/>
              </w:rPr>
              <w:t>IPI (</w:t>
            </w:r>
            <w:r w:rsidRPr="0069147C">
              <w:rPr>
                <w:rFonts w:ascii="Arial" w:hAnsi="Arial" w:cs="Arial"/>
                <w:i/>
              </w:rPr>
              <w:t xml:space="preserve">International </w:t>
            </w:r>
            <w:proofErr w:type="spellStart"/>
            <w:r w:rsidRPr="0069147C">
              <w:rPr>
                <w:rFonts w:ascii="Arial" w:hAnsi="Arial" w:cs="Arial"/>
                <w:i/>
              </w:rPr>
              <w:t>Prognostic</w:t>
            </w:r>
            <w:proofErr w:type="spellEnd"/>
            <w:r w:rsidRPr="0069147C">
              <w:rPr>
                <w:rFonts w:ascii="Arial" w:hAnsi="Arial" w:cs="Arial"/>
                <w:i/>
              </w:rPr>
              <w:t xml:space="preserve"> </w:t>
            </w:r>
            <w:proofErr w:type="spellStart"/>
            <w:r w:rsidRPr="0069147C">
              <w:rPr>
                <w:rFonts w:ascii="Arial" w:hAnsi="Arial" w:cs="Arial"/>
                <w:i/>
              </w:rPr>
              <w:t>Index</w:t>
            </w:r>
            <w:proofErr w:type="spellEnd"/>
            <w:r w:rsidRPr="0069147C">
              <w:rPr>
                <w:rFonts w:ascii="Arial" w:hAnsi="Arial" w:cs="Arial"/>
              </w:rPr>
              <w:t>)</w:t>
            </w:r>
          </w:p>
        </w:tc>
        <w:tc>
          <w:tcPr>
            <w:tcW w:w="2169" w:type="dxa"/>
            <w:vAlign w:val="center"/>
          </w:tcPr>
          <w:p w14:paraId="1EF7C46B" w14:textId="77777777" w:rsidR="00386D2C" w:rsidRPr="0069147C" w:rsidRDefault="00386D2C" w:rsidP="005339BA">
            <w:pPr>
              <w:jc w:val="center"/>
              <w:rPr>
                <w:rFonts w:ascii="Arial" w:hAnsi="Arial" w:cs="Arial"/>
              </w:rPr>
            </w:pPr>
            <w:r w:rsidRPr="0069147C">
              <w:rPr>
                <w:rFonts w:ascii="Arial" w:hAnsi="Arial" w:cs="Arial"/>
              </w:rPr>
              <w:t xml:space="preserve">Escala </w:t>
            </w:r>
            <w:proofErr w:type="spellStart"/>
            <w:r w:rsidRPr="0069147C">
              <w:rPr>
                <w:rFonts w:ascii="Arial" w:hAnsi="Arial" w:cs="Arial"/>
              </w:rPr>
              <w:t>pronóstica</w:t>
            </w:r>
            <w:proofErr w:type="spellEnd"/>
            <w:r w:rsidRPr="0069147C">
              <w:rPr>
                <w:rFonts w:ascii="Arial" w:hAnsi="Arial" w:cs="Arial"/>
              </w:rPr>
              <w:t xml:space="preserve"> validada para Linfoma no </w:t>
            </w:r>
            <w:proofErr w:type="spellStart"/>
            <w:r w:rsidRPr="0069147C">
              <w:rPr>
                <w:rFonts w:ascii="Arial" w:hAnsi="Arial" w:cs="Arial"/>
              </w:rPr>
              <w:t>Hodgkin</w:t>
            </w:r>
            <w:proofErr w:type="spellEnd"/>
            <w:r w:rsidRPr="0069147C">
              <w:rPr>
                <w:rFonts w:ascii="Arial" w:hAnsi="Arial" w:cs="Arial"/>
              </w:rPr>
              <w:t xml:space="preserve"> agresivo</w:t>
            </w:r>
          </w:p>
        </w:tc>
        <w:tc>
          <w:tcPr>
            <w:tcW w:w="1542" w:type="dxa"/>
            <w:vAlign w:val="center"/>
          </w:tcPr>
          <w:p w14:paraId="22370481" w14:textId="77777777" w:rsidR="00386D2C" w:rsidRPr="00131250" w:rsidRDefault="00386D2C" w:rsidP="005339BA">
            <w:pPr>
              <w:jc w:val="center"/>
              <w:rPr>
                <w:rFonts w:ascii="Arial" w:hAnsi="Arial" w:cs="Arial"/>
              </w:rPr>
            </w:pPr>
            <w:r w:rsidRPr="00131250">
              <w:rPr>
                <w:rFonts w:ascii="Arial" w:hAnsi="Arial" w:cs="Arial"/>
              </w:rPr>
              <w:t>Cualitativa</w:t>
            </w:r>
          </w:p>
        </w:tc>
        <w:tc>
          <w:tcPr>
            <w:tcW w:w="1701" w:type="dxa"/>
            <w:vAlign w:val="center"/>
          </w:tcPr>
          <w:p w14:paraId="33B49537" w14:textId="77777777" w:rsidR="00386D2C" w:rsidRPr="00131250" w:rsidRDefault="00386D2C" w:rsidP="005339BA">
            <w:pPr>
              <w:jc w:val="center"/>
              <w:rPr>
                <w:rFonts w:ascii="Arial" w:hAnsi="Arial" w:cs="Arial"/>
              </w:rPr>
            </w:pPr>
            <w:r w:rsidRPr="00131250">
              <w:rPr>
                <w:rFonts w:ascii="Arial" w:hAnsi="Arial" w:cs="Arial"/>
              </w:rPr>
              <w:t>Ordinal</w:t>
            </w:r>
          </w:p>
        </w:tc>
        <w:tc>
          <w:tcPr>
            <w:tcW w:w="2277" w:type="dxa"/>
            <w:vAlign w:val="center"/>
          </w:tcPr>
          <w:p w14:paraId="31CD3C58"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Bajo Riesgo (0-1 </w:t>
            </w:r>
            <w:proofErr w:type="spellStart"/>
            <w:r w:rsidRPr="00F639AF">
              <w:rPr>
                <w:rFonts w:ascii="Arial" w:hAnsi="Arial" w:cs="Arial"/>
              </w:rPr>
              <w:t>ptos</w:t>
            </w:r>
            <w:proofErr w:type="spellEnd"/>
            <w:r w:rsidRPr="00F639AF">
              <w:rPr>
                <w:rFonts w:ascii="Arial" w:hAnsi="Arial" w:cs="Arial"/>
              </w:rPr>
              <w:t>): 0</w:t>
            </w:r>
          </w:p>
          <w:p w14:paraId="2990BBE2"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Intermedio bajo Riesgo (2 </w:t>
            </w:r>
            <w:proofErr w:type="spellStart"/>
            <w:r w:rsidRPr="00F639AF">
              <w:rPr>
                <w:rFonts w:ascii="Arial" w:hAnsi="Arial" w:cs="Arial"/>
              </w:rPr>
              <w:t>ptos</w:t>
            </w:r>
            <w:proofErr w:type="spellEnd"/>
            <w:r w:rsidRPr="00F639AF">
              <w:rPr>
                <w:rFonts w:ascii="Arial" w:hAnsi="Arial" w:cs="Arial"/>
              </w:rPr>
              <w:t>): 1</w:t>
            </w:r>
          </w:p>
          <w:p w14:paraId="3084A49E"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Intermedio alto Riesgo (3 </w:t>
            </w:r>
            <w:proofErr w:type="spellStart"/>
            <w:r w:rsidRPr="00F639AF">
              <w:rPr>
                <w:rFonts w:ascii="Arial" w:hAnsi="Arial" w:cs="Arial"/>
              </w:rPr>
              <w:t>ptos</w:t>
            </w:r>
            <w:proofErr w:type="spellEnd"/>
            <w:r w:rsidRPr="00F639AF">
              <w:rPr>
                <w:rFonts w:ascii="Arial" w:hAnsi="Arial" w:cs="Arial"/>
              </w:rPr>
              <w:t>): 2</w:t>
            </w:r>
          </w:p>
          <w:p w14:paraId="6BAC213B"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Alto Riesgo (4-5 </w:t>
            </w:r>
            <w:proofErr w:type="spellStart"/>
            <w:r w:rsidRPr="00F639AF">
              <w:rPr>
                <w:rFonts w:ascii="Arial" w:hAnsi="Arial" w:cs="Arial"/>
              </w:rPr>
              <w:t>ptos</w:t>
            </w:r>
            <w:proofErr w:type="spellEnd"/>
            <w:r w:rsidRPr="00F639AF">
              <w:rPr>
                <w:rFonts w:ascii="Arial" w:hAnsi="Arial" w:cs="Arial"/>
              </w:rPr>
              <w:t>): 3</w:t>
            </w:r>
          </w:p>
        </w:tc>
        <w:tc>
          <w:tcPr>
            <w:tcW w:w="2243" w:type="dxa"/>
            <w:vAlign w:val="center"/>
          </w:tcPr>
          <w:p w14:paraId="4583BA7C" w14:textId="77777777" w:rsidR="00386D2C" w:rsidRPr="00131250" w:rsidRDefault="00386D2C" w:rsidP="005339BA">
            <w:pPr>
              <w:jc w:val="center"/>
              <w:rPr>
                <w:rFonts w:ascii="Arial" w:hAnsi="Arial" w:cs="Arial"/>
              </w:rPr>
            </w:pPr>
            <w:r w:rsidRPr="00131250">
              <w:rPr>
                <w:rFonts w:ascii="Arial" w:hAnsi="Arial" w:cs="Arial"/>
              </w:rPr>
              <w:t>Escala IPI calculada de la historia clínica</w:t>
            </w:r>
          </w:p>
        </w:tc>
      </w:tr>
      <w:tr w:rsidR="00386D2C" w:rsidRPr="00131250" w14:paraId="16B40E33" w14:textId="77777777" w:rsidTr="007E60D0">
        <w:trPr>
          <w:trHeight w:val="61"/>
          <w:jc w:val="center"/>
        </w:trPr>
        <w:tc>
          <w:tcPr>
            <w:tcW w:w="2085" w:type="dxa"/>
            <w:vAlign w:val="center"/>
          </w:tcPr>
          <w:p w14:paraId="3CF73BC1" w14:textId="77777777" w:rsidR="00386D2C" w:rsidRPr="0069147C" w:rsidRDefault="00386D2C" w:rsidP="005339BA">
            <w:pPr>
              <w:jc w:val="center"/>
              <w:rPr>
                <w:rFonts w:ascii="Arial" w:hAnsi="Arial" w:cs="Arial"/>
                <w:lang w:val="en-US"/>
              </w:rPr>
            </w:pPr>
            <w:r w:rsidRPr="0069147C">
              <w:rPr>
                <w:rFonts w:ascii="Arial" w:hAnsi="Arial" w:cs="Arial"/>
                <w:lang w:val="en-US"/>
              </w:rPr>
              <w:t>PIT (</w:t>
            </w:r>
            <w:r w:rsidRPr="0069147C">
              <w:rPr>
                <w:rFonts w:ascii="Arial" w:hAnsi="Arial" w:cs="Arial"/>
                <w:i/>
                <w:lang w:val="en-US"/>
              </w:rPr>
              <w:t>Prognostic Index for PTCL</w:t>
            </w:r>
            <w:r w:rsidRPr="0069147C">
              <w:rPr>
                <w:rFonts w:ascii="Arial" w:hAnsi="Arial" w:cs="Arial"/>
                <w:lang w:val="en-US"/>
              </w:rPr>
              <w:t xml:space="preserve">) score </w:t>
            </w:r>
          </w:p>
        </w:tc>
        <w:tc>
          <w:tcPr>
            <w:tcW w:w="2169" w:type="dxa"/>
            <w:vAlign w:val="center"/>
          </w:tcPr>
          <w:p w14:paraId="73BC37CC" w14:textId="77777777" w:rsidR="00386D2C" w:rsidRPr="0069147C" w:rsidRDefault="00386D2C" w:rsidP="005339BA">
            <w:pPr>
              <w:jc w:val="center"/>
              <w:rPr>
                <w:rFonts w:ascii="Arial" w:hAnsi="Arial" w:cs="Arial"/>
              </w:rPr>
            </w:pPr>
            <w:r w:rsidRPr="0069147C">
              <w:rPr>
                <w:rFonts w:ascii="Arial" w:hAnsi="Arial" w:cs="Arial"/>
              </w:rPr>
              <w:t xml:space="preserve">Escala </w:t>
            </w:r>
            <w:proofErr w:type="spellStart"/>
            <w:r w:rsidRPr="0069147C">
              <w:rPr>
                <w:rFonts w:ascii="Arial" w:hAnsi="Arial" w:cs="Arial"/>
              </w:rPr>
              <w:t>pronóstica</w:t>
            </w:r>
            <w:proofErr w:type="spellEnd"/>
            <w:r w:rsidRPr="0069147C">
              <w:rPr>
                <w:rFonts w:ascii="Arial" w:hAnsi="Arial" w:cs="Arial"/>
              </w:rPr>
              <w:t xml:space="preserve"> validada para Linfoma no </w:t>
            </w:r>
            <w:proofErr w:type="spellStart"/>
            <w:r w:rsidRPr="0069147C">
              <w:rPr>
                <w:rFonts w:ascii="Arial" w:hAnsi="Arial" w:cs="Arial"/>
              </w:rPr>
              <w:t>Hodgkin</w:t>
            </w:r>
            <w:proofErr w:type="spellEnd"/>
            <w:r w:rsidRPr="0069147C">
              <w:rPr>
                <w:rFonts w:ascii="Arial" w:hAnsi="Arial" w:cs="Arial"/>
              </w:rPr>
              <w:t xml:space="preserve"> de células T</w:t>
            </w:r>
            <w:r>
              <w:rPr>
                <w:rFonts w:ascii="Arial" w:hAnsi="Arial" w:cs="Arial"/>
              </w:rPr>
              <w:t xml:space="preserve"> periférico</w:t>
            </w:r>
          </w:p>
        </w:tc>
        <w:tc>
          <w:tcPr>
            <w:tcW w:w="1542" w:type="dxa"/>
            <w:vAlign w:val="center"/>
          </w:tcPr>
          <w:p w14:paraId="16B58167" w14:textId="77777777" w:rsidR="00386D2C" w:rsidRPr="00131250" w:rsidRDefault="00386D2C" w:rsidP="005339BA">
            <w:pPr>
              <w:jc w:val="center"/>
              <w:rPr>
                <w:rFonts w:ascii="Arial" w:hAnsi="Arial" w:cs="Arial"/>
              </w:rPr>
            </w:pPr>
            <w:r w:rsidRPr="00131250">
              <w:rPr>
                <w:rFonts w:ascii="Arial" w:hAnsi="Arial" w:cs="Arial"/>
              </w:rPr>
              <w:t>Cualitativa</w:t>
            </w:r>
          </w:p>
        </w:tc>
        <w:tc>
          <w:tcPr>
            <w:tcW w:w="1701" w:type="dxa"/>
            <w:vAlign w:val="center"/>
          </w:tcPr>
          <w:p w14:paraId="4C31FC4C" w14:textId="77777777" w:rsidR="00386D2C" w:rsidRPr="00131250" w:rsidRDefault="00386D2C" w:rsidP="005339BA">
            <w:pPr>
              <w:jc w:val="center"/>
              <w:rPr>
                <w:rFonts w:ascii="Arial" w:hAnsi="Arial" w:cs="Arial"/>
              </w:rPr>
            </w:pPr>
            <w:r w:rsidRPr="00131250">
              <w:rPr>
                <w:rFonts w:ascii="Arial" w:hAnsi="Arial" w:cs="Arial"/>
              </w:rPr>
              <w:t>Ordinal</w:t>
            </w:r>
          </w:p>
        </w:tc>
        <w:tc>
          <w:tcPr>
            <w:tcW w:w="2277" w:type="dxa"/>
            <w:vAlign w:val="center"/>
          </w:tcPr>
          <w:p w14:paraId="34A8CC12"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Bajo Riesgo (0 </w:t>
            </w:r>
            <w:proofErr w:type="spellStart"/>
            <w:r w:rsidRPr="00F639AF">
              <w:rPr>
                <w:rFonts w:ascii="Arial" w:hAnsi="Arial" w:cs="Arial"/>
              </w:rPr>
              <w:t>ptos</w:t>
            </w:r>
            <w:proofErr w:type="spellEnd"/>
            <w:r w:rsidRPr="00F639AF">
              <w:rPr>
                <w:rFonts w:ascii="Arial" w:hAnsi="Arial" w:cs="Arial"/>
              </w:rPr>
              <w:t>): 0</w:t>
            </w:r>
          </w:p>
          <w:p w14:paraId="4AA9ADEC"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Intermedio bajo Riesgo (1 </w:t>
            </w:r>
            <w:proofErr w:type="spellStart"/>
            <w:r w:rsidRPr="00F639AF">
              <w:rPr>
                <w:rFonts w:ascii="Arial" w:hAnsi="Arial" w:cs="Arial"/>
              </w:rPr>
              <w:t>pto</w:t>
            </w:r>
            <w:proofErr w:type="spellEnd"/>
            <w:r w:rsidRPr="00F639AF">
              <w:rPr>
                <w:rFonts w:ascii="Arial" w:hAnsi="Arial" w:cs="Arial"/>
              </w:rPr>
              <w:t>): 1</w:t>
            </w:r>
          </w:p>
          <w:p w14:paraId="6A821956"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Intermedio alto Riesgo (2 </w:t>
            </w:r>
            <w:proofErr w:type="spellStart"/>
            <w:r w:rsidRPr="00F639AF">
              <w:rPr>
                <w:rFonts w:ascii="Arial" w:hAnsi="Arial" w:cs="Arial"/>
              </w:rPr>
              <w:t>ptos</w:t>
            </w:r>
            <w:proofErr w:type="spellEnd"/>
            <w:r w:rsidRPr="00F639AF">
              <w:rPr>
                <w:rFonts w:ascii="Arial" w:hAnsi="Arial" w:cs="Arial"/>
              </w:rPr>
              <w:t>): 2</w:t>
            </w:r>
          </w:p>
          <w:p w14:paraId="1C12F9F2"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 xml:space="preserve">Alto Riesgo (3-4 </w:t>
            </w:r>
            <w:proofErr w:type="spellStart"/>
            <w:r w:rsidRPr="00F639AF">
              <w:rPr>
                <w:rFonts w:ascii="Arial" w:hAnsi="Arial" w:cs="Arial"/>
              </w:rPr>
              <w:t>ptos</w:t>
            </w:r>
            <w:proofErr w:type="spellEnd"/>
            <w:r w:rsidRPr="00F639AF">
              <w:rPr>
                <w:rFonts w:ascii="Arial" w:hAnsi="Arial" w:cs="Arial"/>
              </w:rPr>
              <w:t>): 3</w:t>
            </w:r>
          </w:p>
        </w:tc>
        <w:tc>
          <w:tcPr>
            <w:tcW w:w="2243" w:type="dxa"/>
            <w:vAlign w:val="center"/>
          </w:tcPr>
          <w:p w14:paraId="1F0B7C80" w14:textId="77777777" w:rsidR="00386D2C" w:rsidRPr="00131250" w:rsidRDefault="00386D2C" w:rsidP="005339BA">
            <w:pPr>
              <w:jc w:val="center"/>
              <w:rPr>
                <w:rFonts w:ascii="Arial" w:hAnsi="Arial" w:cs="Arial"/>
              </w:rPr>
            </w:pPr>
            <w:r w:rsidRPr="00131250">
              <w:rPr>
                <w:rFonts w:ascii="Arial" w:hAnsi="Arial" w:cs="Arial"/>
              </w:rPr>
              <w:t xml:space="preserve">Escala </w:t>
            </w:r>
            <w:r>
              <w:rPr>
                <w:rFonts w:ascii="Arial" w:hAnsi="Arial" w:cs="Arial"/>
              </w:rPr>
              <w:t>PIT</w:t>
            </w:r>
            <w:r w:rsidRPr="00131250">
              <w:rPr>
                <w:rFonts w:ascii="Arial" w:hAnsi="Arial" w:cs="Arial"/>
              </w:rPr>
              <w:t xml:space="preserve"> calculada de la historia clínica</w:t>
            </w:r>
          </w:p>
        </w:tc>
      </w:tr>
      <w:tr w:rsidR="00386D2C" w:rsidRPr="00131250" w14:paraId="73F25BB7" w14:textId="77777777" w:rsidTr="007E60D0">
        <w:trPr>
          <w:trHeight w:val="61"/>
          <w:jc w:val="center"/>
        </w:trPr>
        <w:tc>
          <w:tcPr>
            <w:tcW w:w="2085" w:type="dxa"/>
            <w:vAlign w:val="center"/>
          </w:tcPr>
          <w:p w14:paraId="149169E3" w14:textId="7A53EFE5" w:rsidR="00386D2C" w:rsidRPr="00011E37" w:rsidRDefault="00386D2C" w:rsidP="003F4FC8">
            <w:pPr>
              <w:jc w:val="center"/>
              <w:rPr>
                <w:rFonts w:ascii="Arial" w:hAnsi="Arial" w:cs="Arial"/>
              </w:rPr>
            </w:pPr>
            <w:r w:rsidRPr="00011E37">
              <w:rPr>
                <w:rFonts w:ascii="Arial" w:hAnsi="Arial" w:cs="Arial"/>
              </w:rPr>
              <w:lastRenderedPageBreak/>
              <w:t>Condiciones relacionadas al HTLV-1 (</w:t>
            </w:r>
            <w:proofErr w:type="spellStart"/>
            <w:r>
              <w:rPr>
                <w:rFonts w:ascii="Arial" w:hAnsi="Arial" w:cs="Arial"/>
              </w:rPr>
              <w:t>Strongiloidiasis</w:t>
            </w:r>
            <w:proofErr w:type="spellEnd"/>
            <w:r w:rsidRPr="00011E37">
              <w:rPr>
                <w:rFonts w:ascii="Arial" w:hAnsi="Arial" w:cs="Arial"/>
              </w:rPr>
              <w:t>, TB</w:t>
            </w:r>
            <w:r>
              <w:rPr>
                <w:rFonts w:ascii="Arial" w:hAnsi="Arial" w:cs="Arial"/>
              </w:rPr>
              <w:t>C</w:t>
            </w:r>
            <w:r w:rsidRPr="00011E37">
              <w:rPr>
                <w:rFonts w:ascii="Arial" w:hAnsi="Arial" w:cs="Arial"/>
              </w:rPr>
              <w:t xml:space="preserve">, </w:t>
            </w:r>
            <w:proofErr w:type="spellStart"/>
            <w:r>
              <w:rPr>
                <w:rFonts w:ascii="Arial" w:hAnsi="Arial" w:cs="Arial"/>
              </w:rPr>
              <w:t>Paraparesia</w:t>
            </w:r>
            <w:proofErr w:type="spellEnd"/>
            <w:r>
              <w:rPr>
                <w:rFonts w:ascii="Arial" w:hAnsi="Arial" w:cs="Arial"/>
              </w:rPr>
              <w:t xml:space="preserve"> espástica tropical, </w:t>
            </w:r>
            <w:proofErr w:type="spellStart"/>
            <w:r>
              <w:rPr>
                <w:rFonts w:ascii="Arial" w:hAnsi="Arial" w:cs="Arial"/>
              </w:rPr>
              <w:t>Neumocistosis</w:t>
            </w:r>
            <w:proofErr w:type="spellEnd"/>
            <w:r>
              <w:rPr>
                <w:rFonts w:ascii="Arial" w:hAnsi="Arial" w:cs="Arial"/>
              </w:rPr>
              <w:t xml:space="preserve">, </w:t>
            </w:r>
            <w:proofErr w:type="spellStart"/>
            <w:r>
              <w:rPr>
                <w:rFonts w:ascii="Arial" w:hAnsi="Arial" w:cs="Arial"/>
              </w:rPr>
              <w:t>Sd</w:t>
            </w:r>
            <w:proofErr w:type="spellEnd"/>
            <w:r>
              <w:rPr>
                <w:rFonts w:ascii="Arial" w:hAnsi="Arial" w:cs="Arial"/>
              </w:rPr>
              <w:t xml:space="preserve">. </w:t>
            </w:r>
            <w:proofErr w:type="spellStart"/>
            <w:r w:rsidRPr="00011E37">
              <w:rPr>
                <w:rFonts w:ascii="Arial" w:hAnsi="Arial" w:cs="Arial"/>
              </w:rPr>
              <w:t>Sjogren</w:t>
            </w:r>
            <w:proofErr w:type="spellEnd"/>
            <w:r w:rsidRPr="00011E37">
              <w:rPr>
                <w:rFonts w:ascii="Arial" w:hAnsi="Arial" w:cs="Arial"/>
              </w:rPr>
              <w:t xml:space="preserve">, </w:t>
            </w:r>
            <w:r>
              <w:rPr>
                <w:rFonts w:ascii="Arial" w:hAnsi="Arial" w:cs="Arial"/>
              </w:rPr>
              <w:t>D</w:t>
            </w:r>
            <w:r w:rsidRPr="00011E37">
              <w:rPr>
                <w:rFonts w:ascii="Arial" w:hAnsi="Arial" w:cs="Arial"/>
              </w:rPr>
              <w:t>ermatiti</w:t>
            </w:r>
            <w:r>
              <w:rPr>
                <w:rFonts w:ascii="Arial" w:hAnsi="Arial" w:cs="Arial"/>
              </w:rPr>
              <w:t>s infectiva, otras</w:t>
            </w:r>
            <w:r w:rsidRPr="00011E37">
              <w:rPr>
                <w:rFonts w:ascii="Arial" w:hAnsi="Arial" w:cs="Arial"/>
              </w:rPr>
              <w:t>)</w:t>
            </w:r>
          </w:p>
        </w:tc>
        <w:tc>
          <w:tcPr>
            <w:tcW w:w="2169" w:type="dxa"/>
            <w:vAlign w:val="center"/>
          </w:tcPr>
          <w:p w14:paraId="2997D526" w14:textId="3BC8CE59" w:rsidR="00386D2C" w:rsidRPr="00131250" w:rsidRDefault="00386D2C" w:rsidP="003C326F">
            <w:pPr>
              <w:jc w:val="center"/>
              <w:rPr>
                <w:rFonts w:ascii="Arial" w:hAnsi="Arial" w:cs="Arial"/>
              </w:rPr>
            </w:pPr>
            <w:r>
              <w:rPr>
                <w:rFonts w:ascii="Arial" w:hAnsi="Arial" w:cs="Arial"/>
              </w:rPr>
              <w:t>Enfermedades asociadas a HTLV-1</w:t>
            </w:r>
            <w:r w:rsidRPr="00A01ECB">
              <w:rPr>
                <w:rFonts w:ascii="Arial" w:hAnsi="Arial" w:cs="Arial"/>
              </w:rPr>
              <w:t>.</w:t>
            </w:r>
          </w:p>
        </w:tc>
        <w:tc>
          <w:tcPr>
            <w:tcW w:w="1542" w:type="dxa"/>
            <w:vAlign w:val="center"/>
          </w:tcPr>
          <w:p w14:paraId="40D8E8AC" w14:textId="77777777" w:rsidR="00386D2C" w:rsidRPr="00131250" w:rsidRDefault="00386D2C" w:rsidP="005339BA">
            <w:pPr>
              <w:jc w:val="center"/>
              <w:rPr>
                <w:rFonts w:ascii="Arial" w:hAnsi="Arial" w:cs="Arial"/>
              </w:rPr>
            </w:pPr>
            <w:r>
              <w:rPr>
                <w:rFonts w:ascii="Arial" w:hAnsi="Arial" w:cs="Arial"/>
              </w:rPr>
              <w:t>Cualitativa</w:t>
            </w:r>
          </w:p>
        </w:tc>
        <w:tc>
          <w:tcPr>
            <w:tcW w:w="1701" w:type="dxa"/>
            <w:vAlign w:val="center"/>
          </w:tcPr>
          <w:p w14:paraId="5C62EE77" w14:textId="77777777" w:rsidR="00386D2C" w:rsidRPr="00131250" w:rsidRDefault="00386D2C" w:rsidP="005339BA">
            <w:pPr>
              <w:jc w:val="center"/>
              <w:rPr>
                <w:rFonts w:ascii="Arial" w:hAnsi="Arial" w:cs="Arial"/>
              </w:rPr>
            </w:pPr>
            <w:r>
              <w:rPr>
                <w:rFonts w:ascii="Arial" w:hAnsi="Arial" w:cs="Arial"/>
              </w:rPr>
              <w:t>Nominal</w:t>
            </w:r>
          </w:p>
        </w:tc>
        <w:tc>
          <w:tcPr>
            <w:tcW w:w="2277" w:type="dxa"/>
            <w:vAlign w:val="center"/>
          </w:tcPr>
          <w:p w14:paraId="5A633F38" w14:textId="6DC4A721"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Ninguna: 0</w:t>
            </w:r>
          </w:p>
          <w:p w14:paraId="19640075" w14:textId="77777777"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Estrongiloidiasis</w:t>
            </w:r>
            <w:proofErr w:type="spellEnd"/>
            <w:r w:rsidRPr="00F639AF">
              <w:rPr>
                <w:rFonts w:ascii="Arial" w:hAnsi="Arial" w:cs="Arial"/>
              </w:rPr>
              <w:t>: 1</w:t>
            </w:r>
          </w:p>
          <w:p w14:paraId="2C724892" w14:textId="77777777"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Tuberculosis:2</w:t>
            </w:r>
          </w:p>
          <w:p w14:paraId="3E26999C" w14:textId="77777777"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Paraparesia</w:t>
            </w:r>
            <w:proofErr w:type="spellEnd"/>
            <w:r w:rsidRPr="00F639AF">
              <w:rPr>
                <w:rFonts w:ascii="Arial" w:hAnsi="Arial" w:cs="Arial"/>
              </w:rPr>
              <w:t xml:space="preserve"> espástica:3</w:t>
            </w:r>
          </w:p>
          <w:p w14:paraId="6B4F0C3E" w14:textId="500D97A1"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Neumocistosis:4</w:t>
            </w:r>
          </w:p>
          <w:p w14:paraId="00B81352" w14:textId="02E45102" w:rsidR="00386D2C" w:rsidRPr="00F639AF" w:rsidRDefault="00386D2C" w:rsidP="00C355BF">
            <w:pPr>
              <w:pStyle w:val="Prrafodelista"/>
              <w:numPr>
                <w:ilvl w:val="0"/>
                <w:numId w:val="9"/>
              </w:numPr>
              <w:ind w:left="228" w:hanging="228"/>
              <w:rPr>
                <w:rFonts w:ascii="Arial" w:hAnsi="Arial" w:cs="Arial"/>
              </w:rPr>
            </w:pPr>
            <w:proofErr w:type="spellStart"/>
            <w:r w:rsidRPr="00F639AF">
              <w:rPr>
                <w:rFonts w:ascii="Arial" w:hAnsi="Arial" w:cs="Arial"/>
              </w:rPr>
              <w:t>Sd</w:t>
            </w:r>
            <w:proofErr w:type="spellEnd"/>
            <w:r w:rsidRPr="00F639AF">
              <w:rPr>
                <w:rFonts w:ascii="Arial" w:hAnsi="Arial" w:cs="Arial"/>
              </w:rPr>
              <w:t>. Sjogren:5</w:t>
            </w:r>
          </w:p>
          <w:p w14:paraId="4A278ED2" w14:textId="204B9C2A"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Dermatitis infectiva:6</w:t>
            </w:r>
          </w:p>
          <w:p w14:paraId="2C7D2814" w14:textId="54AE1F99" w:rsidR="00386D2C" w:rsidRPr="00F639AF" w:rsidRDefault="00386D2C" w:rsidP="00C355BF">
            <w:pPr>
              <w:pStyle w:val="Prrafodelista"/>
              <w:numPr>
                <w:ilvl w:val="0"/>
                <w:numId w:val="9"/>
              </w:numPr>
              <w:ind w:left="228" w:hanging="228"/>
              <w:rPr>
                <w:rFonts w:ascii="Arial" w:hAnsi="Arial" w:cs="Arial"/>
              </w:rPr>
            </w:pPr>
            <w:r w:rsidRPr="00F639AF">
              <w:rPr>
                <w:rFonts w:ascii="Arial" w:hAnsi="Arial" w:cs="Arial"/>
              </w:rPr>
              <w:t>Otros:7</w:t>
            </w:r>
          </w:p>
        </w:tc>
        <w:tc>
          <w:tcPr>
            <w:tcW w:w="2243" w:type="dxa"/>
            <w:vAlign w:val="center"/>
          </w:tcPr>
          <w:p w14:paraId="58774DD9" w14:textId="17A834BC" w:rsidR="00386D2C" w:rsidRPr="00131250" w:rsidRDefault="00386D2C" w:rsidP="005339BA">
            <w:pPr>
              <w:jc w:val="center"/>
              <w:rPr>
                <w:rFonts w:ascii="Arial" w:hAnsi="Arial" w:cs="Arial"/>
              </w:rPr>
            </w:pPr>
            <w:r w:rsidRPr="00131250">
              <w:rPr>
                <w:rFonts w:ascii="Arial" w:hAnsi="Arial" w:cs="Arial"/>
              </w:rPr>
              <w:t>Reporte en la historia clínica</w:t>
            </w:r>
          </w:p>
        </w:tc>
      </w:tr>
      <w:tr w:rsidR="00386D2C" w:rsidRPr="00131250" w14:paraId="0D5EC444" w14:textId="77777777" w:rsidTr="007E60D0">
        <w:trPr>
          <w:trHeight w:val="1433"/>
          <w:jc w:val="center"/>
        </w:trPr>
        <w:tc>
          <w:tcPr>
            <w:tcW w:w="2085" w:type="dxa"/>
            <w:vAlign w:val="center"/>
          </w:tcPr>
          <w:p w14:paraId="33B56C2C" w14:textId="6C60F4AA" w:rsidR="00386D2C" w:rsidRPr="00131250" w:rsidRDefault="00DD244F" w:rsidP="005339BA">
            <w:pPr>
              <w:jc w:val="center"/>
              <w:rPr>
                <w:rFonts w:ascii="Arial" w:hAnsi="Arial" w:cs="Arial"/>
              </w:rPr>
            </w:pPr>
            <w:r>
              <w:rPr>
                <w:rFonts w:ascii="Arial" w:hAnsi="Arial" w:cs="Arial"/>
              </w:rPr>
              <w:t>Tratamiento de primera línea</w:t>
            </w:r>
          </w:p>
        </w:tc>
        <w:tc>
          <w:tcPr>
            <w:tcW w:w="2169" w:type="dxa"/>
            <w:vAlign w:val="center"/>
          </w:tcPr>
          <w:p w14:paraId="5203B504" w14:textId="11F53F4B" w:rsidR="00386D2C" w:rsidRPr="00131250" w:rsidRDefault="00386D2C" w:rsidP="005339BA">
            <w:pPr>
              <w:jc w:val="center"/>
              <w:rPr>
                <w:rFonts w:ascii="Arial" w:hAnsi="Arial" w:cs="Arial"/>
              </w:rPr>
            </w:pPr>
            <w:r w:rsidRPr="00131250">
              <w:rPr>
                <w:rFonts w:ascii="Arial" w:hAnsi="Arial" w:cs="Arial"/>
              </w:rPr>
              <w:t>Terapéutica adm</w:t>
            </w:r>
            <w:r w:rsidR="00DD244F">
              <w:rPr>
                <w:rFonts w:ascii="Arial" w:hAnsi="Arial" w:cs="Arial"/>
              </w:rPr>
              <w:t>i</w:t>
            </w:r>
            <w:r w:rsidRPr="00131250">
              <w:rPr>
                <w:rFonts w:ascii="Arial" w:hAnsi="Arial" w:cs="Arial"/>
              </w:rPr>
              <w:t>nistrada indicada para el tratamiento de neoplasia</w:t>
            </w:r>
          </w:p>
        </w:tc>
        <w:tc>
          <w:tcPr>
            <w:tcW w:w="1542" w:type="dxa"/>
            <w:vAlign w:val="center"/>
          </w:tcPr>
          <w:p w14:paraId="73443CE8" w14:textId="77777777" w:rsidR="00386D2C" w:rsidRPr="00131250" w:rsidRDefault="00386D2C" w:rsidP="005339BA">
            <w:pPr>
              <w:jc w:val="center"/>
              <w:rPr>
                <w:rFonts w:ascii="Arial" w:hAnsi="Arial" w:cs="Arial"/>
              </w:rPr>
            </w:pPr>
            <w:r w:rsidRPr="00131250">
              <w:rPr>
                <w:rFonts w:ascii="Arial" w:hAnsi="Arial" w:cs="Arial"/>
              </w:rPr>
              <w:t>Cualitativa</w:t>
            </w:r>
          </w:p>
        </w:tc>
        <w:tc>
          <w:tcPr>
            <w:tcW w:w="1701" w:type="dxa"/>
            <w:vAlign w:val="center"/>
          </w:tcPr>
          <w:p w14:paraId="1BE1840C" w14:textId="77777777" w:rsidR="00386D2C" w:rsidRPr="00131250" w:rsidRDefault="00386D2C" w:rsidP="005339BA">
            <w:pPr>
              <w:jc w:val="center"/>
              <w:rPr>
                <w:rFonts w:ascii="Arial" w:hAnsi="Arial" w:cs="Arial"/>
              </w:rPr>
            </w:pPr>
            <w:r w:rsidRPr="00131250">
              <w:rPr>
                <w:rFonts w:ascii="Arial" w:hAnsi="Arial" w:cs="Arial"/>
              </w:rPr>
              <w:t>Nominal</w:t>
            </w:r>
          </w:p>
        </w:tc>
        <w:tc>
          <w:tcPr>
            <w:tcW w:w="2277" w:type="dxa"/>
            <w:vAlign w:val="center"/>
          </w:tcPr>
          <w:p w14:paraId="35938C43" w14:textId="6C2BAE50" w:rsidR="00386D2C" w:rsidRPr="00F639AF" w:rsidRDefault="00386D2C" w:rsidP="005339BA">
            <w:pPr>
              <w:rPr>
                <w:rFonts w:ascii="Arial" w:hAnsi="Arial" w:cs="Arial"/>
                <w:lang w:val="en-AU"/>
              </w:rPr>
            </w:pPr>
            <w:r w:rsidRPr="00F639AF">
              <w:rPr>
                <w:rFonts w:ascii="Arial" w:hAnsi="Arial" w:cs="Arial"/>
                <w:lang w:val="en-AU"/>
              </w:rPr>
              <w:t>-  No</w:t>
            </w:r>
            <w:r w:rsidR="007C169D" w:rsidRPr="00F639AF">
              <w:rPr>
                <w:rFonts w:ascii="Arial" w:hAnsi="Arial" w:cs="Arial"/>
                <w:lang w:val="en-AU"/>
              </w:rPr>
              <w:t xml:space="preserve"> (Watch &amp; wait)</w:t>
            </w:r>
            <w:r w:rsidRPr="00F639AF">
              <w:rPr>
                <w:rFonts w:ascii="Arial" w:hAnsi="Arial" w:cs="Arial"/>
                <w:lang w:val="en-AU"/>
              </w:rPr>
              <w:t>: 0</w:t>
            </w:r>
          </w:p>
          <w:p w14:paraId="7878C040" w14:textId="77777777" w:rsidR="00386D2C" w:rsidRPr="00F639AF" w:rsidRDefault="00386D2C" w:rsidP="005339BA">
            <w:pPr>
              <w:rPr>
                <w:rFonts w:ascii="Arial" w:hAnsi="Arial" w:cs="Arial"/>
                <w:lang w:val="en-AU"/>
              </w:rPr>
            </w:pPr>
            <w:r w:rsidRPr="00F639AF">
              <w:rPr>
                <w:rFonts w:ascii="Arial" w:hAnsi="Arial" w:cs="Arial"/>
                <w:lang w:val="en-AU"/>
              </w:rPr>
              <w:t>-  CHOP: 1</w:t>
            </w:r>
          </w:p>
          <w:p w14:paraId="4B745641" w14:textId="77777777" w:rsidR="00386D2C" w:rsidRPr="00F639AF" w:rsidRDefault="00386D2C" w:rsidP="005339BA">
            <w:pPr>
              <w:rPr>
                <w:rFonts w:ascii="Arial" w:hAnsi="Arial" w:cs="Arial"/>
                <w:lang w:val="en-US"/>
              </w:rPr>
            </w:pPr>
            <w:r w:rsidRPr="00F639AF">
              <w:rPr>
                <w:rFonts w:ascii="Arial" w:hAnsi="Arial" w:cs="Arial"/>
                <w:lang w:val="en-US"/>
              </w:rPr>
              <w:t>-  CHOEP: 2</w:t>
            </w:r>
          </w:p>
          <w:p w14:paraId="491DD0F5" w14:textId="77777777" w:rsidR="00386D2C" w:rsidRPr="00F639AF" w:rsidRDefault="00386D2C" w:rsidP="005339BA">
            <w:pPr>
              <w:rPr>
                <w:rFonts w:ascii="Arial" w:hAnsi="Arial" w:cs="Arial"/>
              </w:rPr>
            </w:pPr>
            <w:r w:rsidRPr="00F639AF">
              <w:rPr>
                <w:rFonts w:ascii="Arial" w:hAnsi="Arial" w:cs="Arial"/>
              </w:rPr>
              <w:t>-  EPOCH: 3</w:t>
            </w:r>
          </w:p>
          <w:p w14:paraId="17E61C93" w14:textId="77777777" w:rsidR="00386D2C" w:rsidRPr="00F639AF" w:rsidRDefault="00386D2C" w:rsidP="005339BA">
            <w:pPr>
              <w:rPr>
                <w:rFonts w:ascii="Arial" w:hAnsi="Arial" w:cs="Arial"/>
              </w:rPr>
            </w:pPr>
            <w:r w:rsidRPr="00F639AF">
              <w:rPr>
                <w:rFonts w:ascii="Arial" w:hAnsi="Arial" w:cs="Arial"/>
              </w:rPr>
              <w:t>-  AZT/ INF: 4</w:t>
            </w:r>
          </w:p>
          <w:p w14:paraId="71E2F782" w14:textId="77777777" w:rsidR="00386D2C" w:rsidRPr="00F639AF" w:rsidRDefault="00386D2C" w:rsidP="005339BA">
            <w:pPr>
              <w:rPr>
                <w:rFonts w:ascii="Arial" w:hAnsi="Arial" w:cs="Arial"/>
              </w:rPr>
            </w:pPr>
            <w:r w:rsidRPr="00F639AF">
              <w:rPr>
                <w:rFonts w:ascii="Arial" w:hAnsi="Arial" w:cs="Arial"/>
              </w:rPr>
              <w:t>-  Otros regímenes: 5</w:t>
            </w:r>
          </w:p>
        </w:tc>
        <w:tc>
          <w:tcPr>
            <w:tcW w:w="2243" w:type="dxa"/>
            <w:vAlign w:val="center"/>
          </w:tcPr>
          <w:p w14:paraId="2B3E3AB4" w14:textId="77777777" w:rsidR="00386D2C" w:rsidRPr="00131250" w:rsidRDefault="00386D2C" w:rsidP="005339BA">
            <w:pPr>
              <w:ind w:left="34"/>
              <w:jc w:val="center"/>
              <w:rPr>
                <w:rFonts w:ascii="Arial" w:hAnsi="Arial" w:cs="Arial"/>
              </w:rPr>
            </w:pPr>
            <w:r w:rsidRPr="00131250">
              <w:rPr>
                <w:rFonts w:ascii="Arial" w:hAnsi="Arial" w:cs="Arial"/>
              </w:rPr>
              <w:t>Reporte en la historia clínica</w:t>
            </w:r>
          </w:p>
        </w:tc>
      </w:tr>
      <w:tr w:rsidR="00386D2C" w:rsidRPr="00131250" w14:paraId="5490D94E" w14:textId="77777777" w:rsidTr="007E60D0">
        <w:trPr>
          <w:trHeight w:val="61"/>
          <w:jc w:val="center"/>
        </w:trPr>
        <w:tc>
          <w:tcPr>
            <w:tcW w:w="2085" w:type="dxa"/>
            <w:vAlign w:val="center"/>
          </w:tcPr>
          <w:p w14:paraId="079C1303" w14:textId="77777777" w:rsidR="00386D2C" w:rsidRPr="00131250" w:rsidRDefault="00386D2C" w:rsidP="005339BA">
            <w:pPr>
              <w:jc w:val="center"/>
              <w:rPr>
                <w:rFonts w:ascii="Arial" w:hAnsi="Arial" w:cs="Arial"/>
              </w:rPr>
            </w:pPr>
            <w:r w:rsidRPr="00131250">
              <w:rPr>
                <w:rFonts w:ascii="Arial" w:hAnsi="Arial" w:cs="Arial"/>
              </w:rPr>
              <w:t>Respuesta clínica</w:t>
            </w:r>
          </w:p>
        </w:tc>
        <w:tc>
          <w:tcPr>
            <w:tcW w:w="2169" w:type="dxa"/>
            <w:vAlign w:val="center"/>
          </w:tcPr>
          <w:p w14:paraId="0992174F" w14:textId="766D53B2" w:rsidR="00386D2C" w:rsidRPr="00305B5D" w:rsidRDefault="00386D2C" w:rsidP="005339BA">
            <w:pPr>
              <w:jc w:val="center"/>
              <w:rPr>
                <w:rFonts w:ascii="Arial" w:hAnsi="Arial" w:cs="Arial"/>
                <w:highlight w:val="yellow"/>
              </w:rPr>
            </w:pPr>
            <w:r w:rsidRPr="00C91549">
              <w:rPr>
                <w:rFonts w:ascii="Arial" w:hAnsi="Arial" w:cs="Arial"/>
              </w:rPr>
              <w:t xml:space="preserve">Respuesta obtenida al tratamiento del ATLL acorde con los criterios de </w:t>
            </w:r>
            <w:proofErr w:type="spellStart"/>
            <w:r w:rsidRPr="0073132C">
              <w:rPr>
                <w:rFonts w:ascii="Arial" w:hAnsi="Arial" w:cs="Arial"/>
                <w:i/>
              </w:rPr>
              <w:t>Tsuka</w:t>
            </w:r>
            <w:r w:rsidR="0073132C" w:rsidRPr="0073132C">
              <w:rPr>
                <w:rFonts w:ascii="Arial" w:hAnsi="Arial" w:cs="Arial"/>
                <w:i/>
              </w:rPr>
              <w:t>saki</w:t>
            </w:r>
            <w:proofErr w:type="spellEnd"/>
            <w:r w:rsidRPr="0073132C">
              <w:rPr>
                <w:rFonts w:ascii="Arial" w:hAnsi="Arial" w:cs="Arial"/>
                <w:i/>
              </w:rPr>
              <w:t>.</w:t>
            </w:r>
            <w:r w:rsidRPr="00C91549">
              <w:rPr>
                <w:rFonts w:ascii="Arial" w:hAnsi="Arial" w:cs="Arial"/>
              </w:rPr>
              <w:fldChar w:fldCharType="begin" w:fldLock="1"/>
            </w:r>
            <w:r w:rsidR="00111EA9">
              <w:rPr>
                <w:rFonts w:ascii="Arial" w:hAnsi="Arial" w:cs="Arial"/>
              </w:rPr>
              <w:instrText>ADDIN CSL_CITATION { "citationItems" : [ { "id" : "ITEM-1", "itemData" : { "DOI" : "10.1200/JCO.2008.18.2428", "ISSN" : "0732183X", "abstract" : "Adult T-cell leukemia-lymphoma (ATL) is a distinct peripheral T-lymphocytic malignancy associated with a retrovirus designated human T-cell lymphotropic virus type I (HTLV-1). The diversity in clinical features and prognosis of patients with this disease has led to its subclassification into the following four categories: acute, lymphoma, chronic, and smoldering types. The chronic and smoldering subtypes are considered indolent and are usually managed with watchful waiting until disease progression, analogous to the management of some patients with chronic lymphoid leukemia (CLL) or other indolent histology lymphomas. Patients with aggressive ATL generally have a poor prognosis because of multidrug resistance of malignant cells, a large tumor burden with multiorgan failure, hypercalcemia, and/or frequent infectious complications as a result of a profound T-cell immunodeficiency. Under the sponsorship of the 13th International Conference on Human Retrovirology: HTLV, a group of ATL researchers joined to form a consensus statement based on established data to define prognostic factors, clinical subclassifications, and treatment strategies. A set of response criteria specific for ATL reflecting a combination of those for lymphoma and CLL was proposed. Clinical subclassification is useful but is limited because of the diverse prognosis among each subtype. Molecular abnormalities within the host genome, such as tumor suppressor genes, may account for these diversities. A treatment strategy based on the clinical subclassification and prognostic factors is suggested, including watchful waiting approach, chemotherapy, antiviral therapy, allogeneic hematopoietic stem-cell transplantation (alloHSCT), and targeted therapies.", "author" : [ { "dropping-particle" : "", "family" : "Tsukasaki", "given" : "Kunihiro", "non-dropping-particle" : "", "parse-names" : false, "suffix" : "" }, { "dropping-particle" : "", "family" : "Hermine", "given" : "Olivier", "non-dropping-particle" : "", "parse-names" : false, "suffix" : "" }, { "dropping-particle" : "", "family" : "Bazarbachi", "given" : "Ali", "non-dropping-particle" : "", "parse-names" : false, "suffix" : "" }, { "dropping-particle" : "", "family" : "Ratner", "given" : "Lee", "non-dropping-particle" : "", "parse-names" : false, "suffix" : "" }, { "dropping-particle" : "", "family" : "Ramos", "given" : "Juan Carlos", "non-dropping-particle" : "", "parse-names" : false, "suffix" : "" }, { "dropping-particle" : "", "family" : "Harrington", "given" : "William", "non-dropping-particle" : "", "parse-names" : false, "suffix" : "" }, { "dropping-particle" : "", "family" : "O'Mahony", "given" : "Deirdre", "non-dropping-particle" : "", "parse-names" : false, "suffix" : "" }, { "dropping-particle" : "", "family" : "Janik", "given" : "John E.", "non-dropping-particle" : "", "parse-names" : false, "suffix" : "" }, { "dropping-particle" : "", "family" : "Bittencourt", "given" : "Achil\u00e9a L.", "non-dropping-particle" : "", "parse-names" : false, "suffix" : "" }, { "dropping-particle" : "", "family" : "Taylor", "given" : "Graham P.", "non-dropping-particle" : "", "parse-names" : false, "suffix" : "" }, { "dropping-particle" : "", "family" : "Yamaguchi", "given" : "Kazunari", "non-dropping-particle" : "", "parse-names" : false, "suffix" : "" }, { "dropping-particle" : "", "family" : "Utsunomiya", "given" : "Atae", "non-dropping-particle" : "", "parse-names" : false, "suffix" : "" }, { "dropping-particle" : "", "family" : "Tobinai", "given" : "Kensei", "non-dropping-particle" : "", "parse-names" : false, "suffix" : "" }, { "dropping-particle" : "", "family" : "Watanabe", "given" : "Toshiki", "non-dropping-particle" : "", "parse-names" : false, "suffix" : "" } ], "container-title" : "Journal of Clinical Oncology", "id" : "ITEM-1", "issue" : "3", "issued" : { "date-parts" : [ [ "2009" ] ] }, "page" : "453-459", "title" : "Definition, prognostic factors, treatment, and response criteria of adult T-cell leukemia-lymphoma: A proposal from an international consensus meeting", "type" : "article-journal", "volume" : "27" }, "uris" : [ "http://www.mendeley.com/documents/?uuid=cdef9f7d-fdff-4b02-b0fc-2d9b4a82debd" ] } ], "mendeley" : { "formattedCitation" : "(33)", "manualFormatting" : "( 32)", "plainTextFormattedCitation" : "(33)", "previouslyFormattedCitation" : "(33)" }, "properties" : {  }, "schema" : "https://github.com/citation-style-language/schema/raw/master/csl-citation.json" }</w:instrText>
            </w:r>
            <w:r w:rsidRPr="00C91549">
              <w:rPr>
                <w:rFonts w:ascii="Arial" w:hAnsi="Arial" w:cs="Arial"/>
              </w:rPr>
              <w:fldChar w:fldCharType="separate"/>
            </w:r>
            <w:r w:rsidRPr="0071022D">
              <w:rPr>
                <w:rFonts w:ascii="Arial" w:hAnsi="Arial" w:cs="Arial"/>
                <w:noProof/>
              </w:rPr>
              <w:t>(</w:t>
            </w:r>
            <w:r>
              <w:rPr>
                <w:rFonts w:ascii="Arial" w:hAnsi="Arial" w:cs="Arial"/>
                <w:noProof/>
              </w:rPr>
              <w:t xml:space="preserve"> </w:t>
            </w:r>
            <w:r w:rsidRPr="0071022D">
              <w:rPr>
                <w:rFonts w:ascii="Arial" w:hAnsi="Arial" w:cs="Arial"/>
                <w:noProof/>
              </w:rPr>
              <w:t>32)</w:t>
            </w:r>
            <w:r w:rsidRPr="00C91549">
              <w:rPr>
                <w:rFonts w:ascii="Arial" w:hAnsi="Arial" w:cs="Arial"/>
              </w:rPr>
              <w:fldChar w:fldCharType="end"/>
            </w:r>
          </w:p>
        </w:tc>
        <w:tc>
          <w:tcPr>
            <w:tcW w:w="1542" w:type="dxa"/>
            <w:vAlign w:val="center"/>
          </w:tcPr>
          <w:p w14:paraId="4494F489" w14:textId="77777777" w:rsidR="00386D2C" w:rsidRPr="00131250" w:rsidRDefault="00386D2C" w:rsidP="005339BA">
            <w:pPr>
              <w:jc w:val="center"/>
              <w:rPr>
                <w:rFonts w:ascii="Arial" w:hAnsi="Arial" w:cs="Arial"/>
              </w:rPr>
            </w:pPr>
            <w:r w:rsidRPr="00131250">
              <w:rPr>
                <w:rFonts w:ascii="Arial" w:hAnsi="Arial" w:cs="Arial"/>
              </w:rPr>
              <w:t>Cualitativa</w:t>
            </w:r>
          </w:p>
        </w:tc>
        <w:tc>
          <w:tcPr>
            <w:tcW w:w="1701" w:type="dxa"/>
            <w:vAlign w:val="center"/>
          </w:tcPr>
          <w:p w14:paraId="21760683" w14:textId="77777777" w:rsidR="00386D2C" w:rsidRPr="00131250" w:rsidRDefault="00386D2C" w:rsidP="005339BA">
            <w:pPr>
              <w:jc w:val="center"/>
              <w:rPr>
                <w:rFonts w:ascii="Arial" w:hAnsi="Arial" w:cs="Arial"/>
              </w:rPr>
            </w:pPr>
            <w:r w:rsidRPr="00131250">
              <w:rPr>
                <w:rFonts w:ascii="Arial" w:hAnsi="Arial" w:cs="Arial"/>
              </w:rPr>
              <w:t>Nominal</w:t>
            </w:r>
          </w:p>
        </w:tc>
        <w:tc>
          <w:tcPr>
            <w:tcW w:w="2277" w:type="dxa"/>
            <w:vAlign w:val="center"/>
          </w:tcPr>
          <w:p w14:paraId="47E481CB" w14:textId="77777777" w:rsidR="00386D2C" w:rsidRPr="00F639AF" w:rsidRDefault="00386D2C" w:rsidP="005339BA">
            <w:pPr>
              <w:ind w:firstLine="18"/>
              <w:rPr>
                <w:rFonts w:ascii="Arial" w:hAnsi="Arial" w:cs="Arial"/>
              </w:rPr>
            </w:pPr>
            <w:r w:rsidRPr="00F639AF">
              <w:rPr>
                <w:rFonts w:ascii="Arial" w:hAnsi="Arial" w:cs="Arial"/>
              </w:rPr>
              <w:t>-  RC: 0</w:t>
            </w:r>
          </w:p>
          <w:p w14:paraId="2454170C" w14:textId="77777777" w:rsidR="00386D2C" w:rsidRPr="00F639AF" w:rsidRDefault="00386D2C" w:rsidP="005339BA">
            <w:pPr>
              <w:ind w:firstLine="18"/>
              <w:rPr>
                <w:rFonts w:ascii="Arial" w:hAnsi="Arial" w:cs="Arial"/>
              </w:rPr>
            </w:pPr>
            <w:r w:rsidRPr="00F639AF">
              <w:rPr>
                <w:rFonts w:ascii="Arial" w:hAnsi="Arial" w:cs="Arial"/>
              </w:rPr>
              <w:t>-  RP: 1</w:t>
            </w:r>
          </w:p>
          <w:p w14:paraId="4904FA14" w14:textId="77777777" w:rsidR="00386D2C" w:rsidRPr="00F639AF" w:rsidRDefault="00386D2C" w:rsidP="005339BA">
            <w:pPr>
              <w:ind w:firstLine="18"/>
              <w:rPr>
                <w:rFonts w:ascii="Arial" w:hAnsi="Arial" w:cs="Arial"/>
              </w:rPr>
            </w:pPr>
            <w:r w:rsidRPr="00F639AF">
              <w:rPr>
                <w:rFonts w:ascii="Arial" w:hAnsi="Arial" w:cs="Arial"/>
              </w:rPr>
              <w:t>-  NR: 2</w:t>
            </w:r>
          </w:p>
        </w:tc>
        <w:tc>
          <w:tcPr>
            <w:tcW w:w="2243" w:type="dxa"/>
            <w:vAlign w:val="center"/>
          </w:tcPr>
          <w:p w14:paraId="5EFABF7C" w14:textId="77777777" w:rsidR="00386D2C" w:rsidRPr="00131250" w:rsidRDefault="00386D2C" w:rsidP="005339BA">
            <w:pPr>
              <w:jc w:val="center"/>
              <w:rPr>
                <w:rFonts w:ascii="Arial" w:hAnsi="Arial" w:cs="Arial"/>
              </w:rPr>
            </w:pPr>
            <w:r w:rsidRPr="00131250">
              <w:rPr>
                <w:rFonts w:ascii="Arial" w:hAnsi="Arial" w:cs="Arial"/>
              </w:rPr>
              <w:t>Evaluación de la respuesta clínica bajo exámenes de imagen consignados en la historia clínica</w:t>
            </w:r>
          </w:p>
        </w:tc>
      </w:tr>
      <w:tr w:rsidR="00386D2C" w:rsidRPr="00131250" w14:paraId="1D549410" w14:textId="77777777" w:rsidTr="007E60D0">
        <w:trPr>
          <w:trHeight w:val="61"/>
          <w:jc w:val="center"/>
        </w:trPr>
        <w:tc>
          <w:tcPr>
            <w:tcW w:w="2085" w:type="dxa"/>
            <w:vAlign w:val="center"/>
          </w:tcPr>
          <w:p w14:paraId="53ED5655" w14:textId="1D53E34B" w:rsidR="00386D2C" w:rsidRPr="00131250" w:rsidRDefault="00386D2C" w:rsidP="007C169D">
            <w:pPr>
              <w:jc w:val="center"/>
              <w:rPr>
                <w:rFonts w:ascii="Arial" w:hAnsi="Arial" w:cs="Arial"/>
              </w:rPr>
            </w:pPr>
            <w:r>
              <w:rPr>
                <w:rFonts w:ascii="Arial" w:hAnsi="Arial" w:cs="Arial"/>
              </w:rPr>
              <w:t>Recurrencia de enfermedad</w:t>
            </w:r>
          </w:p>
        </w:tc>
        <w:tc>
          <w:tcPr>
            <w:tcW w:w="2169" w:type="dxa"/>
            <w:vAlign w:val="center"/>
          </w:tcPr>
          <w:p w14:paraId="5419BAE5" w14:textId="77777777" w:rsidR="007C169D" w:rsidRDefault="007C169D" w:rsidP="00DD244F">
            <w:pPr>
              <w:jc w:val="center"/>
              <w:rPr>
                <w:rFonts w:ascii="Arial" w:hAnsi="Arial" w:cs="Arial"/>
              </w:rPr>
            </w:pPr>
          </w:p>
          <w:p w14:paraId="5315E247" w14:textId="44E980CC" w:rsidR="00386D2C" w:rsidRPr="00131250" w:rsidRDefault="00386D2C" w:rsidP="00DD244F">
            <w:pPr>
              <w:jc w:val="center"/>
              <w:rPr>
                <w:rFonts w:ascii="Arial" w:hAnsi="Arial" w:cs="Arial"/>
              </w:rPr>
            </w:pPr>
            <w:r w:rsidRPr="007273D7">
              <w:rPr>
                <w:rFonts w:ascii="Arial" w:hAnsi="Arial" w:cs="Arial"/>
              </w:rPr>
              <w:t xml:space="preserve">Reaparición </w:t>
            </w:r>
            <w:r w:rsidR="00DD244F">
              <w:rPr>
                <w:rFonts w:ascii="Arial" w:hAnsi="Arial" w:cs="Arial"/>
              </w:rPr>
              <w:t xml:space="preserve">de ATL </w:t>
            </w:r>
            <w:r w:rsidRPr="007273D7">
              <w:rPr>
                <w:rFonts w:ascii="Arial" w:hAnsi="Arial" w:cs="Arial"/>
              </w:rPr>
              <w:t xml:space="preserve">luego de un período de tiempo </w:t>
            </w:r>
            <w:r>
              <w:rPr>
                <w:rFonts w:ascii="Arial" w:hAnsi="Arial" w:cs="Arial"/>
              </w:rPr>
              <w:t xml:space="preserve">no definido </w:t>
            </w:r>
            <w:r w:rsidRPr="007273D7">
              <w:rPr>
                <w:rFonts w:ascii="Arial" w:hAnsi="Arial" w:cs="Arial"/>
              </w:rPr>
              <w:t>detecta</w:t>
            </w:r>
            <w:r>
              <w:rPr>
                <w:rFonts w:ascii="Arial" w:hAnsi="Arial" w:cs="Arial"/>
              </w:rPr>
              <w:t xml:space="preserve">ble por métodos clínicos – </w:t>
            </w:r>
            <w:proofErr w:type="spellStart"/>
            <w:r>
              <w:rPr>
                <w:rFonts w:ascii="Arial" w:hAnsi="Arial" w:cs="Arial"/>
              </w:rPr>
              <w:t>imagenológicos</w:t>
            </w:r>
            <w:proofErr w:type="spellEnd"/>
            <w:r>
              <w:rPr>
                <w:rFonts w:ascii="Arial" w:hAnsi="Arial" w:cs="Arial"/>
              </w:rPr>
              <w:t>, sea en el</w:t>
            </w:r>
            <w:r w:rsidRPr="007273D7">
              <w:rPr>
                <w:rFonts w:ascii="Arial" w:hAnsi="Arial" w:cs="Arial"/>
              </w:rPr>
              <w:t xml:space="preserve"> mismo tumor original (primario) o </w:t>
            </w:r>
            <w:r>
              <w:rPr>
                <w:rFonts w:ascii="Arial" w:hAnsi="Arial" w:cs="Arial"/>
              </w:rPr>
              <w:t>en otra localización</w:t>
            </w:r>
            <w:r w:rsidRPr="007273D7">
              <w:rPr>
                <w:rFonts w:ascii="Arial" w:hAnsi="Arial" w:cs="Arial"/>
              </w:rPr>
              <w:t xml:space="preserve"> del </w:t>
            </w:r>
            <w:r>
              <w:rPr>
                <w:rFonts w:ascii="Arial" w:hAnsi="Arial" w:cs="Arial"/>
              </w:rPr>
              <w:t>organismo</w:t>
            </w:r>
            <w:r w:rsidRPr="007273D7">
              <w:rPr>
                <w:rFonts w:ascii="Arial" w:hAnsi="Arial" w:cs="Arial"/>
              </w:rPr>
              <w:t>.</w:t>
            </w:r>
          </w:p>
        </w:tc>
        <w:tc>
          <w:tcPr>
            <w:tcW w:w="1542" w:type="dxa"/>
            <w:vAlign w:val="center"/>
          </w:tcPr>
          <w:p w14:paraId="0996B11C" w14:textId="77777777" w:rsidR="00386D2C" w:rsidRPr="00131250" w:rsidRDefault="00386D2C" w:rsidP="005339BA">
            <w:pPr>
              <w:jc w:val="center"/>
              <w:rPr>
                <w:rFonts w:ascii="Arial" w:hAnsi="Arial" w:cs="Arial"/>
              </w:rPr>
            </w:pPr>
            <w:r w:rsidRPr="00131250">
              <w:rPr>
                <w:rFonts w:ascii="Arial" w:hAnsi="Arial" w:cs="Arial"/>
              </w:rPr>
              <w:t>Cualitativa Dicotómica</w:t>
            </w:r>
          </w:p>
        </w:tc>
        <w:tc>
          <w:tcPr>
            <w:tcW w:w="1701" w:type="dxa"/>
            <w:vAlign w:val="center"/>
          </w:tcPr>
          <w:p w14:paraId="7515478D" w14:textId="77777777" w:rsidR="00386D2C" w:rsidRPr="00131250" w:rsidRDefault="00386D2C" w:rsidP="005339BA">
            <w:pPr>
              <w:jc w:val="center"/>
              <w:rPr>
                <w:rFonts w:ascii="Arial" w:hAnsi="Arial" w:cs="Arial"/>
              </w:rPr>
            </w:pPr>
            <w:r w:rsidRPr="00131250">
              <w:rPr>
                <w:rFonts w:ascii="Arial" w:hAnsi="Arial" w:cs="Arial"/>
              </w:rPr>
              <w:t>Nominal</w:t>
            </w:r>
          </w:p>
        </w:tc>
        <w:tc>
          <w:tcPr>
            <w:tcW w:w="2277" w:type="dxa"/>
            <w:vAlign w:val="center"/>
          </w:tcPr>
          <w:p w14:paraId="44FB3459" w14:textId="77777777" w:rsidR="004D4FD0" w:rsidRPr="00F639AF" w:rsidRDefault="004D4FD0" w:rsidP="004D4FD0">
            <w:pPr>
              <w:pStyle w:val="Prrafodelista"/>
              <w:numPr>
                <w:ilvl w:val="0"/>
                <w:numId w:val="10"/>
              </w:numPr>
              <w:ind w:left="241" w:hanging="241"/>
              <w:rPr>
                <w:rFonts w:ascii="Arial" w:hAnsi="Arial" w:cs="Arial"/>
              </w:rPr>
            </w:pPr>
            <w:r w:rsidRPr="00F639AF">
              <w:rPr>
                <w:rFonts w:ascii="Arial" w:hAnsi="Arial" w:cs="Arial"/>
              </w:rPr>
              <w:t>No:</w:t>
            </w:r>
            <w:r w:rsidR="00386D2C" w:rsidRPr="00F639AF">
              <w:rPr>
                <w:rFonts w:ascii="Arial" w:hAnsi="Arial" w:cs="Arial"/>
              </w:rPr>
              <w:t xml:space="preserve"> 0</w:t>
            </w:r>
          </w:p>
          <w:p w14:paraId="207546C8" w14:textId="3775FDB3" w:rsidR="00386D2C" w:rsidRPr="00F639AF" w:rsidRDefault="004D4FD0" w:rsidP="004D4FD0">
            <w:pPr>
              <w:pStyle w:val="Prrafodelista"/>
              <w:numPr>
                <w:ilvl w:val="0"/>
                <w:numId w:val="10"/>
              </w:numPr>
              <w:ind w:left="241" w:hanging="241"/>
              <w:rPr>
                <w:rFonts w:ascii="Arial" w:hAnsi="Arial" w:cs="Arial"/>
              </w:rPr>
            </w:pPr>
            <w:r w:rsidRPr="00F639AF">
              <w:rPr>
                <w:rFonts w:ascii="Arial" w:hAnsi="Arial" w:cs="Arial"/>
              </w:rPr>
              <w:t>Si:</w:t>
            </w:r>
            <w:r w:rsidR="00386D2C" w:rsidRPr="00F639AF">
              <w:rPr>
                <w:rFonts w:ascii="Arial" w:eastAsia="Times New Roman" w:hAnsi="Arial" w:cs="Arial"/>
              </w:rPr>
              <w:t xml:space="preserve"> </w:t>
            </w:r>
            <w:r w:rsidRPr="00F639AF">
              <w:rPr>
                <w:rFonts w:ascii="Arial" w:eastAsia="Times New Roman" w:hAnsi="Arial" w:cs="Arial"/>
              </w:rPr>
              <w:t xml:space="preserve">  </w:t>
            </w:r>
            <w:r w:rsidR="00386D2C" w:rsidRPr="00F639AF">
              <w:rPr>
                <w:rFonts w:ascii="Arial" w:eastAsia="Times New Roman" w:hAnsi="Arial" w:cs="Arial"/>
              </w:rPr>
              <w:t>1</w:t>
            </w:r>
          </w:p>
        </w:tc>
        <w:tc>
          <w:tcPr>
            <w:tcW w:w="2243" w:type="dxa"/>
            <w:vAlign w:val="center"/>
          </w:tcPr>
          <w:p w14:paraId="4E293149" w14:textId="77777777" w:rsidR="00386D2C" w:rsidRPr="00131250" w:rsidRDefault="00386D2C" w:rsidP="005339BA">
            <w:pPr>
              <w:jc w:val="center"/>
              <w:rPr>
                <w:rFonts w:ascii="Arial" w:hAnsi="Arial" w:cs="Arial"/>
              </w:rPr>
            </w:pPr>
            <w:r w:rsidRPr="00131250">
              <w:rPr>
                <w:rFonts w:ascii="Arial" w:hAnsi="Arial" w:cs="Arial"/>
              </w:rPr>
              <w:t>Evaluación de la respuesta clínica bajo exámenes de imagen consignados en la historia clínica</w:t>
            </w:r>
          </w:p>
        </w:tc>
      </w:tr>
      <w:tr w:rsidR="007C169D" w:rsidRPr="00131250" w14:paraId="51BF8159" w14:textId="77777777" w:rsidTr="007E60D0">
        <w:trPr>
          <w:trHeight w:val="61"/>
          <w:jc w:val="center"/>
        </w:trPr>
        <w:tc>
          <w:tcPr>
            <w:tcW w:w="2085" w:type="dxa"/>
            <w:vAlign w:val="center"/>
          </w:tcPr>
          <w:p w14:paraId="7AB8BE96" w14:textId="1C748232" w:rsidR="007C169D" w:rsidRDefault="007C169D" w:rsidP="007C169D">
            <w:pPr>
              <w:jc w:val="center"/>
              <w:rPr>
                <w:rFonts w:ascii="Arial" w:hAnsi="Arial" w:cs="Arial"/>
              </w:rPr>
            </w:pPr>
            <w:r>
              <w:rPr>
                <w:rFonts w:ascii="Arial" w:hAnsi="Arial" w:cs="Arial"/>
              </w:rPr>
              <w:t xml:space="preserve"> </w:t>
            </w:r>
          </w:p>
          <w:p w14:paraId="3CB37BD3" w14:textId="77777777" w:rsidR="007C169D" w:rsidRDefault="007C169D" w:rsidP="007C169D">
            <w:pPr>
              <w:jc w:val="center"/>
              <w:rPr>
                <w:rFonts w:ascii="Arial" w:hAnsi="Arial" w:cs="Arial"/>
              </w:rPr>
            </w:pPr>
          </w:p>
          <w:p w14:paraId="4753E752" w14:textId="78DE142B" w:rsidR="007C169D" w:rsidRDefault="007C169D" w:rsidP="007C169D">
            <w:pPr>
              <w:jc w:val="center"/>
              <w:rPr>
                <w:rFonts w:ascii="Arial" w:hAnsi="Arial" w:cs="Arial"/>
              </w:rPr>
            </w:pPr>
            <w:r>
              <w:rPr>
                <w:rFonts w:ascii="Arial" w:hAnsi="Arial" w:cs="Arial"/>
              </w:rPr>
              <w:t>Tratamiento de segunda línea</w:t>
            </w:r>
          </w:p>
          <w:p w14:paraId="10E92C3C" w14:textId="77777777" w:rsidR="00863AA6" w:rsidRDefault="00863AA6" w:rsidP="007C169D">
            <w:pPr>
              <w:jc w:val="center"/>
              <w:rPr>
                <w:rFonts w:ascii="Arial" w:hAnsi="Arial" w:cs="Arial"/>
              </w:rPr>
            </w:pPr>
          </w:p>
          <w:p w14:paraId="46DFD29D" w14:textId="13B9508D" w:rsidR="007C169D" w:rsidRDefault="007C169D" w:rsidP="007C169D">
            <w:pPr>
              <w:jc w:val="center"/>
              <w:rPr>
                <w:rFonts w:ascii="Arial" w:hAnsi="Arial" w:cs="Arial"/>
              </w:rPr>
            </w:pPr>
          </w:p>
        </w:tc>
        <w:tc>
          <w:tcPr>
            <w:tcW w:w="2169" w:type="dxa"/>
            <w:vAlign w:val="center"/>
          </w:tcPr>
          <w:p w14:paraId="139FB1EC" w14:textId="4E32310B" w:rsidR="007C169D" w:rsidRPr="007273D7" w:rsidRDefault="007C169D" w:rsidP="00DD244F">
            <w:pPr>
              <w:jc w:val="center"/>
              <w:rPr>
                <w:rFonts w:ascii="Arial" w:hAnsi="Arial" w:cs="Arial"/>
              </w:rPr>
            </w:pPr>
            <w:r w:rsidRPr="00131250">
              <w:rPr>
                <w:rFonts w:ascii="Arial" w:hAnsi="Arial" w:cs="Arial"/>
              </w:rPr>
              <w:lastRenderedPageBreak/>
              <w:t>Terapéutica adm</w:t>
            </w:r>
            <w:r>
              <w:rPr>
                <w:rFonts w:ascii="Arial" w:hAnsi="Arial" w:cs="Arial"/>
              </w:rPr>
              <w:t>i</w:t>
            </w:r>
            <w:r w:rsidRPr="00131250">
              <w:rPr>
                <w:rFonts w:ascii="Arial" w:hAnsi="Arial" w:cs="Arial"/>
              </w:rPr>
              <w:t>nistrada indicada para el tratamiento de neoplasia</w:t>
            </w:r>
            <w:r>
              <w:rPr>
                <w:rFonts w:ascii="Arial" w:hAnsi="Arial" w:cs="Arial"/>
              </w:rPr>
              <w:t xml:space="preserve"> luego de </w:t>
            </w:r>
            <w:r>
              <w:rPr>
                <w:rFonts w:ascii="Arial" w:hAnsi="Arial" w:cs="Arial"/>
              </w:rPr>
              <w:lastRenderedPageBreak/>
              <w:t>recurrencia, progresión o enfermedad estable.</w:t>
            </w:r>
          </w:p>
        </w:tc>
        <w:tc>
          <w:tcPr>
            <w:tcW w:w="1542" w:type="dxa"/>
            <w:vAlign w:val="center"/>
          </w:tcPr>
          <w:p w14:paraId="707958E3" w14:textId="14E607AE" w:rsidR="007C169D" w:rsidRPr="00131250" w:rsidRDefault="007C169D" w:rsidP="005339BA">
            <w:pPr>
              <w:jc w:val="center"/>
              <w:rPr>
                <w:rFonts w:ascii="Arial" w:hAnsi="Arial" w:cs="Arial"/>
              </w:rPr>
            </w:pPr>
            <w:r w:rsidRPr="00131250">
              <w:rPr>
                <w:rFonts w:ascii="Arial" w:hAnsi="Arial" w:cs="Arial"/>
              </w:rPr>
              <w:lastRenderedPageBreak/>
              <w:t>Cualitativa</w:t>
            </w:r>
          </w:p>
        </w:tc>
        <w:tc>
          <w:tcPr>
            <w:tcW w:w="1701" w:type="dxa"/>
            <w:vAlign w:val="center"/>
          </w:tcPr>
          <w:p w14:paraId="7A53F878" w14:textId="759A5B59" w:rsidR="007C169D" w:rsidRPr="00131250" w:rsidRDefault="007C169D" w:rsidP="005339BA">
            <w:pPr>
              <w:jc w:val="center"/>
              <w:rPr>
                <w:rFonts w:ascii="Arial" w:hAnsi="Arial" w:cs="Arial"/>
              </w:rPr>
            </w:pPr>
            <w:r w:rsidRPr="00131250">
              <w:rPr>
                <w:rFonts w:ascii="Arial" w:hAnsi="Arial" w:cs="Arial"/>
              </w:rPr>
              <w:t>Nominal</w:t>
            </w:r>
          </w:p>
        </w:tc>
        <w:tc>
          <w:tcPr>
            <w:tcW w:w="2277" w:type="dxa"/>
            <w:vAlign w:val="center"/>
          </w:tcPr>
          <w:p w14:paraId="22D1A271" w14:textId="68414066" w:rsidR="007C169D" w:rsidRPr="00F639AF" w:rsidRDefault="007C169D" w:rsidP="007C169D">
            <w:pPr>
              <w:rPr>
                <w:rFonts w:ascii="Arial" w:hAnsi="Arial" w:cs="Arial"/>
              </w:rPr>
            </w:pPr>
            <w:r w:rsidRPr="00F639AF">
              <w:rPr>
                <w:rFonts w:ascii="Arial" w:hAnsi="Arial" w:cs="Arial"/>
              </w:rPr>
              <w:t>-  No        :0</w:t>
            </w:r>
          </w:p>
          <w:p w14:paraId="5F519B65" w14:textId="04130206" w:rsidR="007C169D" w:rsidRPr="00F639AF" w:rsidRDefault="007C169D" w:rsidP="007C169D">
            <w:pPr>
              <w:rPr>
                <w:rFonts w:ascii="Arial" w:hAnsi="Arial" w:cs="Arial"/>
              </w:rPr>
            </w:pPr>
            <w:r w:rsidRPr="00F639AF">
              <w:rPr>
                <w:rFonts w:ascii="Arial" w:hAnsi="Arial" w:cs="Arial"/>
              </w:rPr>
              <w:t>-  ICE       :1</w:t>
            </w:r>
          </w:p>
          <w:p w14:paraId="560ECD47" w14:textId="2B815644" w:rsidR="007C169D" w:rsidRPr="00F639AF" w:rsidRDefault="007C169D" w:rsidP="007C169D">
            <w:pPr>
              <w:rPr>
                <w:rFonts w:ascii="Arial" w:hAnsi="Arial" w:cs="Arial"/>
              </w:rPr>
            </w:pPr>
            <w:r w:rsidRPr="00F639AF">
              <w:rPr>
                <w:rFonts w:ascii="Arial" w:hAnsi="Arial" w:cs="Arial"/>
              </w:rPr>
              <w:t>-  GEMOX:   2</w:t>
            </w:r>
          </w:p>
          <w:p w14:paraId="42D9C7A7" w14:textId="685260DF" w:rsidR="007C169D" w:rsidRPr="00F639AF" w:rsidRDefault="007C169D" w:rsidP="007C169D">
            <w:pPr>
              <w:rPr>
                <w:rFonts w:ascii="Arial" w:hAnsi="Arial" w:cs="Arial"/>
              </w:rPr>
            </w:pPr>
            <w:r w:rsidRPr="00F639AF">
              <w:rPr>
                <w:rFonts w:ascii="Arial" w:hAnsi="Arial" w:cs="Arial"/>
              </w:rPr>
              <w:t>-  AZT/ INF: 3</w:t>
            </w:r>
          </w:p>
          <w:p w14:paraId="0270051D" w14:textId="3B5B36E9" w:rsidR="007C169D" w:rsidRPr="00F639AF" w:rsidRDefault="007C169D" w:rsidP="007C169D">
            <w:pPr>
              <w:rPr>
                <w:rFonts w:ascii="Arial" w:hAnsi="Arial" w:cs="Arial"/>
              </w:rPr>
            </w:pPr>
            <w:r w:rsidRPr="00F639AF">
              <w:rPr>
                <w:rFonts w:ascii="Arial" w:hAnsi="Arial" w:cs="Arial"/>
              </w:rPr>
              <w:lastRenderedPageBreak/>
              <w:t>-  Otros regímenes: 4</w:t>
            </w:r>
          </w:p>
        </w:tc>
        <w:tc>
          <w:tcPr>
            <w:tcW w:w="2243" w:type="dxa"/>
            <w:vAlign w:val="center"/>
          </w:tcPr>
          <w:p w14:paraId="1E80E435" w14:textId="6644C4B9" w:rsidR="007C169D" w:rsidRPr="00131250" w:rsidRDefault="007C169D" w:rsidP="005339BA">
            <w:pPr>
              <w:jc w:val="center"/>
              <w:rPr>
                <w:rFonts w:ascii="Arial" w:hAnsi="Arial" w:cs="Arial"/>
              </w:rPr>
            </w:pPr>
            <w:r w:rsidRPr="00131250">
              <w:rPr>
                <w:rFonts w:ascii="Arial" w:hAnsi="Arial" w:cs="Arial"/>
              </w:rPr>
              <w:lastRenderedPageBreak/>
              <w:t>Reporte en la historia clínica</w:t>
            </w:r>
          </w:p>
        </w:tc>
      </w:tr>
      <w:tr w:rsidR="004D4FD0" w:rsidRPr="00131250" w14:paraId="11BCA88B" w14:textId="77777777" w:rsidTr="007E60D0">
        <w:trPr>
          <w:trHeight w:val="959"/>
          <w:jc w:val="center"/>
        </w:trPr>
        <w:tc>
          <w:tcPr>
            <w:tcW w:w="2085" w:type="dxa"/>
            <w:vAlign w:val="center"/>
          </w:tcPr>
          <w:p w14:paraId="785E728A" w14:textId="77777777" w:rsidR="004D4FD0" w:rsidRPr="003F05FB" w:rsidRDefault="004D4FD0" w:rsidP="007C169D">
            <w:pPr>
              <w:jc w:val="center"/>
              <w:rPr>
                <w:rFonts w:ascii="Arial" w:hAnsi="Arial" w:cs="Arial"/>
              </w:rPr>
            </w:pPr>
          </w:p>
          <w:p w14:paraId="50576DC3" w14:textId="451AB27F" w:rsidR="004D4FD0" w:rsidRPr="003F05FB" w:rsidRDefault="004D4FD0" w:rsidP="007C169D">
            <w:pPr>
              <w:jc w:val="center"/>
              <w:rPr>
                <w:rFonts w:ascii="Arial" w:hAnsi="Arial" w:cs="Arial"/>
              </w:rPr>
            </w:pPr>
            <w:r w:rsidRPr="003F05FB">
              <w:rPr>
                <w:rFonts w:ascii="Arial" w:hAnsi="Arial" w:cs="Arial"/>
              </w:rPr>
              <w:t xml:space="preserve">Trasplante </w:t>
            </w:r>
            <w:proofErr w:type="spellStart"/>
            <w:r w:rsidRPr="003F05FB">
              <w:rPr>
                <w:rFonts w:ascii="Arial" w:hAnsi="Arial" w:cs="Arial"/>
              </w:rPr>
              <w:t>alogénico</w:t>
            </w:r>
            <w:proofErr w:type="spellEnd"/>
          </w:p>
          <w:p w14:paraId="2C3E981E" w14:textId="77777777" w:rsidR="004D4FD0" w:rsidRPr="003F05FB" w:rsidRDefault="004D4FD0" w:rsidP="007C169D">
            <w:pPr>
              <w:jc w:val="center"/>
              <w:rPr>
                <w:rFonts w:ascii="Arial" w:hAnsi="Arial" w:cs="Arial"/>
              </w:rPr>
            </w:pPr>
          </w:p>
          <w:p w14:paraId="2E9C9FF5" w14:textId="6142878F" w:rsidR="004D4FD0" w:rsidRPr="003F05FB" w:rsidRDefault="004D4FD0" w:rsidP="007C169D">
            <w:pPr>
              <w:jc w:val="center"/>
              <w:rPr>
                <w:rFonts w:ascii="Arial" w:hAnsi="Arial" w:cs="Arial"/>
              </w:rPr>
            </w:pPr>
          </w:p>
        </w:tc>
        <w:tc>
          <w:tcPr>
            <w:tcW w:w="2169" w:type="dxa"/>
            <w:vAlign w:val="center"/>
          </w:tcPr>
          <w:p w14:paraId="314167E5" w14:textId="7B995744" w:rsidR="003F05FB" w:rsidRPr="003F05FB" w:rsidRDefault="003F05FB" w:rsidP="003F05FB">
            <w:r w:rsidRPr="003F05FB">
              <w:rPr>
                <w:rFonts w:ascii="Arial" w:hAnsi="Arial" w:cs="Arial"/>
                <w:color w:val="000000"/>
                <w:shd w:val="clear" w:color="auto" w:fill="FFFFFF"/>
              </w:rPr>
              <w:t>Es cuando el paciente recibe las</w:t>
            </w:r>
            <w:r w:rsidRPr="003F05FB">
              <w:rPr>
                <w:rFonts w:ascii="Arial" w:hAnsi="Arial" w:cs="Arial"/>
                <w:color w:val="000000"/>
                <w:shd w:val="clear" w:color="auto" w:fill="FFFFFF"/>
              </w:rPr>
              <w:t xml:space="preserve"> células madre </w:t>
            </w:r>
            <w:r w:rsidRPr="003F05FB">
              <w:rPr>
                <w:rFonts w:ascii="Arial" w:hAnsi="Arial" w:cs="Arial"/>
                <w:color w:val="000000"/>
                <w:shd w:val="clear" w:color="auto" w:fill="FFFFFF"/>
              </w:rPr>
              <w:t>de una persona con médula ósea compatible.</w:t>
            </w:r>
          </w:p>
          <w:p w14:paraId="49B1503F" w14:textId="77777777" w:rsidR="004D4FD0" w:rsidRPr="003F05FB" w:rsidRDefault="004D4FD0" w:rsidP="00DD244F">
            <w:pPr>
              <w:jc w:val="center"/>
              <w:rPr>
                <w:rFonts w:ascii="Arial" w:hAnsi="Arial" w:cs="Arial"/>
              </w:rPr>
            </w:pPr>
          </w:p>
        </w:tc>
        <w:tc>
          <w:tcPr>
            <w:tcW w:w="1542" w:type="dxa"/>
            <w:vAlign w:val="center"/>
          </w:tcPr>
          <w:p w14:paraId="32605D59" w14:textId="412F42EB" w:rsidR="004D4FD0" w:rsidRPr="00131250" w:rsidRDefault="004D4FD0" w:rsidP="005339BA">
            <w:pPr>
              <w:jc w:val="center"/>
              <w:rPr>
                <w:rFonts w:ascii="Arial" w:hAnsi="Arial" w:cs="Arial"/>
              </w:rPr>
            </w:pPr>
            <w:r w:rsidRPr="00131250">
              <w:rPr>
                <w:rFonts w:ascii="Arial" w:hAnsi="Arial" w:cs="Arial"/>
              </w:rPr>
              <w:t>Cualitativa Dicotómica</w:t>
            </w:r>
          </w:p>
        </w:tc>
        <w:tc>
          <w:tcPr>
            <w:tcW w:w="1701" w:type="dxa"/>
            <w:vAlign w:val="center"/>
          </w:tcPr>
          <w:p w14:paraId="35E9FEB7" w14:textId="0074B7EA" w:rsidR="004D4FD0" w:rsidRPr="00131250" w:rsidRDefault="004D4FD0" w:rsidP="005339BA">
            <w:pPr>
              <w:jc w:val="center"/>
              <w:rPr>
                <w:rFonts w:ascii="Arial" w:hAnsi="Arial" w:cs="Arial"/>
              </w:rPr>
            </w:pPr>
            <w:r w:rsidRPr="00131250">
              <w:rPr>
                <w:rFonts w:ascii="Arial" w:hAnsi="Arial" w:cs="Arial"/>
              </w:rPr>
              <w:t>Nominal</w:t>
            </w:r>
          </w:p>
        </w:tc>
        <w:tc>
          <w:tcPr>
            <w:tcW w:w="2277" w:type="dxa"/>
            <w:vAlign w:val="center"/>
          </w:tcPr>
          <w:p w14:paraId="29B35236" w14:textId="77777777" w:rsidR="004D4FD0" w:rsidRPr="00F639AF" w:rsidRDefault="004D4FD0" w:rsidP="004D4FD0">
            <w:pPr>
              <w:pStyle w:val="Prrafodelista"/>
              <w:numPr>
                <w:ilvl w:val="0"/>
                <w:numId w:val="10"/>
              </w:numPr>
              <w:ind w:left="241" w:hanging="241"/>
              <w:rPr>
                <w:rFonts w:ascii="Arial" w:hAnsi="Arial" w:cs="Arial"/>
              </w:rPr>
            </w:pPr>
            <w:r w:rsidRPr="00F639AF">
              <w:rPr>
                <w:rFonts w:ascii="Arial" w:hAnsi="Arial" w:cs="Arial"/>
              </w:rPr>
              <w:t>No: 0</w:t>
            </w:r>
          </w:p>
          <w:p w14:paraId="6CDD9515" w14:textId="5F65B47C" w:rsidR="004D4FD0" w:rsidRPr="00F639AF" w:rsidRDefault="004D4FD0" w:rsidP="004D4FD0">
            <w:pPr>
              <w:pStyle w:val="Prrafodelista"/>
              <w:numPr>
                <w:ilvl w:val="0"/>
                <w:numId w:val="10"/>
              </w:numPr>
              <w:ind w:left="241" w:hanging="241"/>
              <w:rPr>
                <w:rFonts w:ascii="Arial" w:hAnsi="Arial" w:cs="Arial"/>
              </w:rPr>
            </w:pPr>
            <w:r w:rsidRPr="00F639AF">
              <w:rPr>
                <w:rFonts w:ascii="Arial" w:eastAsia="Times New Roman" w:hAnsi="Arial" w:cs="Arial"/>
              </w:rPr>
              <w:t>Si:   1</w:t>
            </w:r>
          </w:p>
        </w:tc>
        <w:tc>
          <w:tcPr>
            <w:tcW w:w="2243" w:type="dxa"/>
            <w:vAlign w:val="center"/>
          </w:tcPr>
          <w:p w14:paraId="0BAD4855" w14:textId="7CAE3D08" w:rsidR="004D4FD0" w:rsidRPr="00131250" w:rsidRDefault="004D4FD0" w:rsidP="005339BA">
            <w:pPr>
              <w:jc w:val="center"/>
              <w:rPr>
                <w:rFonts w:ascii="Arial" w:hAnsi="Arial" w:cs="Arial"/>
              </w:rPr>
            </w:pPr>
            <w:r w:rsidRPr="00131250">
              <w:rPr>
                <w:rFonts w:ascii="Arial" w:hAnsi="Arial" w:cs="Arial"/>
              </w:rPr>
              <w:t>Reporte en la historia clínica</w:t>
            </w:r>
          </w:p>
        </w:tc>
      </w:tr>
      <w:tr w:rsidR="004D4FD0" w:rsidRPr="00131250" w14:paraId="59206592" w14:textId="77777777" w:rsidTr="007E60D0">
        <w:trPr>
          <w:trHeight w:val="61"/>
          <w:jc w:val="center"/>
        </w:trPr>
        <w:tc>
          <w:tcPr>
            <w:tcW w:w="2085" w:type="dxa"/>
            <w:vAlign w:val="center"/>
          </w:tcPr>
          <w:p w14:paraId="1726A944" w14:textId="07C15573" w:rsidR="004D4FD0" w:rsidRPr="00F639AF" w:rsidRDefault="004D4FD0" w:rsidP="007C169D">
            <w:pPr>
              <w:jc w:val="center"/>
              <w:rPr>
                <w:rFonts w:ascii="Arial" w:hAnsi="Arial" w:cs="Arial"/>
              </w:rPr>
            </w:pPr>
            <w:r w:rsidRPr="00F639AF">
              <w:rPr>
                <w:rFonts w:ascii="Arial" w:hAnsi="Arial" w:cs="Arial"/>
              </w:rPr>
              <w:t xml:space="preserve">Trasplante </w:t>
            </w:r>
            <w:proofErr w:type="spellStart"/>
            <w:r w:rsidRPr="00F639AF">
              <w:rPr>
                <w:rFonts w:ascii="Arial" w:hAnsi="Arial" w:cs="Arial"/>
              </w:rPr>
              <w:t>autólogo</w:t>
            </w:r>
            <w:proofErr w:type="spellEnd"/>
            <w:r w:rsidRPr="00F639AF">
              <w:rPr>
                <w:rFonts w:ascii="Arial" w:hAnsi="Arial" w:cs="Arial"/>
              </w:rPr>
              <w:t xml:space="preserve"> </w:t>
            </w:r>
          </w:p>
        </w:tc>
        <w:tc>
          <w:tcPr>
            <w:tcW w:w="2169" w:type="dxa"/>
            <w:vAlign w:val="center"/>
          </w:tcPr>
          <w:p w14:paraId="34AF8B9B" w14:textId="5F7B5482" w:rsidR="003F05FB" w:rsidRPr="003F05FB" w:rsidRDefault="003F05FB" w:rsidP="003F05FB">
            <w:pPr>
              <w:rPr>
                <w:sz w:val="22"/>
                <w:szCs w:val="22"/>
              </w:rPr>
            </w:pPr>
            <w:r w:rsidRPr="003F05FB">
              <w:rPr>
                <w:rFonts w:ascii="Arial" w:hAnsi="Arial" w:cs="Arial"/>
                <w:color w:val="000000"/>
                <w:sz w:val="22"/>
                <w:szCs w:val="22"/>
                <w:shd w:val="clear" w:color="auto" w:fill="FFFFFF"/>
              </w:rPr>
              <w:t>Es cuando el paciente recibe sus</w:t>
            </w:r>
            <w:r w:rsidRPr="003F05FB">
              <w:rPr>
                <w:rFonts w:ascii="Arial" w:hAnsi="Arial" w:cs="Arial"/>
                <w:color w:val="000000"/>
                <w:sz w:val="22"/>
                <w:szCs w:val="22"/>
                <w:shd w:val="clear" w:color="auto" w:fill="FFFFFF"/>
              </w:rPr>
              <w:t xml:space="preserve"> </w:t>
            </w:r>
            <w:r w:rsidRPr="003F05FB">
              <w:rPr>
                <w:rFonts w:ascii="Arial" w:hAnsi="Arial" w:cs="Arial"/>
                <w:color w:val="000000"/>
                <w:sz w:val="22"/>
                <w:szCs w:val="22"/>
                <w:shd w:val="clear" w:color="auto" w:fill="FFFFFF"/>
              </w:rPr>
              <w:t>mismas células madre luego de haber recibido quimioterapia de altas dosis.</w:t>
            </w:r>
          </w:p>
          <w:p w14:paraId="413841FC" w14:textId="77777777" w:rsidR="004D4FD0" w:rsidRPr="003F05FB" w:rsidRDefault="004D4FD0" w:rsidP="00DD244F">
            <w:pPr>
              <w:jc w:val="center"/>
              <w:rPr>
                <w:rFonts w:ascii="Arial" w:hAnsi="Arial" w:cs="Arial"/>
                <w:sz w:val="22"/>
                <w:szCs w:val="22"/>
              </w:rPr>
            </w:pPr>
          </w:p>
        </w:tc>
        <w:tc>
          <w:tcPr>
            <w:tcW w:w="1542" w:type="dxa"/>
            <w:vAlign w:val="center"/>
          </w:tcPr>
          <w:p w14:paraId="6551FF48" w14:textId="77777777" w:rsidR="004D4FD0" w:rsidRDefault="004D4FD0" w:rsidP="005339BA">
            <w:pPr>
              <w:jc w:val="center"/>
              <w:rPr>
                <w:rFonts w:ascii="Arial" w:hAnsi="Arial" w:cs="Arial"/>
              </w:rPr>
            </w:pPr>
          </w:p>
          <w:p w14:paraId="6C8FD7AD" w14:textId="77777777" w:rsidR="004D4FD0" w:rsidRDefault="004D4FD0" w:rsidP="005339BA">
            <w:pPr>
              <w:jc w:val="center"/>
              <w:rPr>
                <w:rFonts w:ascii="Arial" w:hAnsi="Arial" w:cs="Arial"/>
              </w:rPr>
            </w:pPr>
            <w:r w:rsidRPr="00131250">
              <w:rPr>
                <w:rFonts w:ascii="Arial" w:hAnsi="Arial" w:cs="Arial"/>
              </w:rPr>
              <w:t>Cualitativa Dicotómica</w:t>
            </w:r>
          </w:p>
          <w:p w14:paraId="264847CD" w14:textId="4D27024B" w:rsidR="004D4FD0" w:rsidRPr="00131250" w:rsidRDefault="004D4FD0" w:rsidP="005339BA">
            <w:pPr>
              <w:jc w:val="center"/>
              <w:rPr>
                <w:rFonts w:ascii="Arial" w:hAnsi="Arial" w:cs="Arial"/>
              </w:rPr>
            </w:pPr>
          </w:p>
        </w:tc>
        <w:tc>
          <w:tcPr>
            <w:tcW w:w="1701" w:type="dxa"/>
            <w:vAlign w:val="center"/>
          </w:tcPr>
          <w:p w14:paraId="3DF7427D" w14:textId="18C04E8C" w:rsidR="004D4FD0" w:rsidRPr="00131250" w:rsidRDefault="004D4FD0" w:rsidP="005339BA">
            <w:pPr>
              <w:jc w:val="center"/>
              <w:rPr>
                <w:rFonts w:ascii="Arial" w:hAnsi="Arial" w:cs="Arial"/>
              </w:rPr>
            </w:pPr>
            <w:r w:rsidRPr="00131250">
              <w:rPr>
                <w:rFonts w:ascii="Arial" w:hAnsi="Arial" w:cs="Arial"/>
              </w:rPr>
              <w:t>Nominal</w:t>
            </w:r>
          </w:p>
        </w:tc>
        <w:tc>
          <w:tcPr>
            <w:tcW w:w="2277" w:type="dxa"/>
            <w:vAlign w:val="center"/>
          </w:tcPr>
          <w:p w14:paraId="36829140" w14:textId="77777777" w:rsidR="004D4FD0" w:rsidRPr="00F639AF" w:rsidRDefault="004D4FD0" w:rsidP="004D4FD0">
            <w:pPr>
              <w:pStyle w:val="Prrafodelista"/>
              <w:numPr>
                <w:ilvl w:val="0"/>
                <w:numId w:val="10"/>
              </w:numPr>
              <w:ind w:left="241" w:hanging="241"/>
              <w:rPr>
                <w:rFonts w:ascii="Arial" w:hAnsi="Arial" w:cs="Arial"/>
              </w:rPr>
            </w:pPr>
            <w:r w:rsidRPr="00F639AF">
              <w:rPr>
                <w:rFonts w:ascii="Arial" w:hAnsi="Arial" w:cs="Arial"/>
              </w:rPr>
              <w:t>No: 0</w:t>
            </w:r>
          </w:p>
          <w:p w14:paraId="51BE8608" w14:textId="4A0B0D74" w:rsidR="004D4FD0" w:rsidRPr="00F639AF" w:rsidRDefault="004D4FD0" w:rsidP="004D4FD0">
            <w:pPr>
              <w:pStyle w:val="Prrafodelista"/>
              <w:numPr>
                <w:ilvl w:val="0"/>
                <w:numId w:val="10"/>
              </w:numPr>
              <w:ind w:left="241" w:hanging="241"/>
              <w:rPr>
                <w:rFonts w:ascii="Arial" w:hAnsi="Arial" w:cs="Arial"/>
              </w:rPr>
            </w:pPr>
            <w:r w:rsidRPr="00F639AF">
              <w:rPr>
                <w:rFonts w:ascii="Arial" w:eastAsia="Times New Roman" w:hAnsi="Arial" w:cs="Arial"/>
              </w:rPr>
              <w:t>Si:   1</w:t>
            </w:r>
          </w:p>
        </w:tc>
        <w:tc>
          <w:tcPr>
            <w:tcW w:w="2243" w:type="dxa"/>
            <w:vAlign w:val="center"/>
          </w:tcPr>
          <w:p w14:paraId="1528CBD5" w14:textId="43685CB5" w:rsidR="004D4FD0" w:rsidRPr="00131250" w:rsidRDefault="004D4FD0" w:rsidP="005339BA">
            <w:pPr>
              <w:jc w:val="center"/>
              <w:rPr>
                <w:rFonts w:ascii="Arial" w:hAnsi="Arial" w:cs="Arial"/>
              </w:rPr>
            </w:pPr>
            <w:r w:rsidRPr="00131250">
              <w:rPr>
                <w:rFonts w:ascii="Arial" w:hAnsi="Arial" w:cs="Arial"/>
              </w:rPr>
              <w:t>Reporte en la historia clínica</w:t>
            </w:r>
          </w:p>
        </w:tc>
      </w:tr>
      <w:tr w:rsidR="004D4FD0" w:rsidRPr="00131250" w14:paraId="1D080BA1" w14:textId="77777777" w:rsidTr="007E60D0">
        <w:trPr>
          <w:trHeight w:val="61"/>
          <w:jc w:val="center"/>
        </w:trPr>
        <w:tc>
          <w:tcPr>
            <w:tcW w:w="2085" w:type="dxa"/>
            <w:vAlign w:val="center"/>
          </w:tcPr>
          <w:p w14:paraId="7B653342" w14:textId="746C6C73" w:rsidR="004D4FD0" w:rsidRDefault="004D4FD0" w:rsidP="007C169D">
            <w:pPr>
              <w:jc w:val="center"/>
              <w:rPr>
                <w:rFonts w:ascii="Arial" w:hAnsi="Arial" w:cs="Arial"/>
              </w:rPr>
            </w:pPr>
            <w:r>
              <w:rPr>
                <w:rFonts w:ascii="Arial" w:hAnsi="Arial" w:cs="Arial"/>
              </w:rPr>
              <w:t xml:space="preserve">  </w:t>
            </w:r>
          </w:p>
          <w:p w14:paraId="58B2F43B" w14:textId="645065FB" w:rsidR="004D4FD0" w:rsidRDefault="004D4FD0" w:rsidP="007C169D">
            <w:pPr>
              <w:jc w:val="center"/>
              <w:rPr>
                <w:rFonts w:ascii="Arial" w:hAnsi="Arial" w:cs="Arial"/>
              </w:rPr>
            </w:pPr>
            <w:r>
              <w:rPr>
                <w:rFonts w:ascii="Arial" w:hAnsi="Arial" w:cs="Arial"/>
              </w:rPr>
              <w:t>Radioterapia</w:t>
            </w:r>
          </w:p>
          <w:p w14:paraId="737E873D" w14:textId="77777777" w:rsidR="004D4FD0" w:rsidRDefault="004D4FD0" w:rsidP="007C169D">
            <w:pPr>
              <w:jc w:val="center"/>
              <w:rPr>
                <w:rFonts w:ascii="Arial" w:hAnsi="Arial" w:cs="Arial"/>
              </w:rPr>
            </w:pPr>
          </w:p>
        </w:tc>
        <w:tc>
          <w:tcPr>
            <w:tcW w:w="2169" w:type="dxa"/>
            <w:vAlign w:val="center"/>
          </w:tcPr>
          <w:p w14:paraId="5C387096" w14:textId="2C3FC763" w:rsidR="007E60D0" w:rsidRPr="007E60D0" w:rsidRDefault="007E60D0" w:rsidP="007E60D0">
            <w:pPr>
              <w:rPr>
                <w:color w:val="000000" w:themeColor="text1"/>
              </w:rPr>
            </w:pPr>
            <w:r w:rsidRPr="007E60D0">
              <w:rPr>
                <w:rFonts w:ascii="Arial" w:hAnsi="Arial" w:cs="Arial"/>
                <w:color w:val="000000" w:themeColor="text1"/>
                <w:shd w:val="clear" w:color="auto" w:fill="FFFFFF"/>
              </w:rPr>
              <w:t>Es el t</w:t>
            </w:r>
            <w:r w:rsidRPr="007E60D0">
              <w:rPr>
                <w:rFonts w:ascii="Arial" w:hAnsi="Arial" w:cs="Arial"/>
                <w:color w:val="000000" w:themeColor="text1"/>
                <w:shd w:val="clear" w:color="auto" w:fill="FFFFFF"/>
              </w:rPr>
              <w:t>ratamiento en el que se emplea la radiación ionizante</w:t>
            </w:r>
            <w:r w:rsidRPr="007E60D0">
              <w:rPr>
                <w:rFonts w:ascii="Arial" w:hAnsi="Arial" w:cs="Arial"/>
                <w:color w:val="000000" w:themeColor="text1"/>
                <w:shd w:val="clear" w:color="auto" w:fill="FFFFFF"/>
              </w:rPr>
              <w:t>.</w:t>
            </w:r>
          </w:p>
          <w:p w14:paraId="58172D57" w14:textId="77777777" w:rsidR="004D4FD0" w:rsidRPr="00131250" w:rsidRDefault="004D4FD0" w:rsidP="00DD244F">
            <w:pPr>
              <w:jc w:val="center"/>
              <w:rPr>
                <w:rFonts w:ascii="Arial" w:hAnsi="Arial" w:cs="Arial"/>
              </w:rPr>
            </w:pPr>
          </w:p>
        </w:tc>
        <w:tc>
          <w:tcPr>
            <w:tcW w:w="1542" w:type="dxa"/>
            <w:vAlign w:val="center"/>
          </w:tcPr>
          <w:p w14:paraId="1CF933FA" w14:textId="77777777" w:rsidR="004D4FD0" w:rsidRDefault="004D4FD0" w:rsidP="004D4FD0">
            <w:pPr>
              <w:jc w:val="center"/>
              <w:rPr>
                <w:rFonts w:ascii="Arial" w:hAnsi="Arial" w:cs="Arial"/>
              </w:rPr>
            </w:pPr>
          </w:p>
          <w:p w14:paraId="0C1501F8" w14:textId="77777777" w:rsidR="004D4FD0" w:rsidRDefault="004D4FD0" w:rsidP="004D4FD0">
            <w:pPr>
              <w:jc w:val="center"/>
              <w:rPr>
                <w:rFonts w:ascii="Arial" w:hAnsi="Arial" w:cs="Arial"/>
              </w:rPr>
            </w:pPr>
            <w:r w:rsidRPr="00131250">
              <w:rPr>
                <w:rFonts w:ascii="Arial" w:hAnsi="Arial" w:cs="Arial"/>
              </w:rPr>
              <w:t>Cualitativa Dicotómica</w:t>
            </w:r>
          </w:p>
          <w:p w14:paraId="0C3337F4" w14:textId="77777777" w:rsidR="004D4FD0" w:rsidRDefault="004D4FD0" w:rsidP="005339BA">
            <w:pPr>
              <w:jc w:val="center"/>
              <w:rPr>
                <w:rFonts w:ascii="Arial" w:hAnsi="Arial" w:cs="Arial"/>
              </w:rPr>
            </w:pPr>
          </w:p>
        </w:tc>
        <w:tc>
          <w:tcPr>
            <w:tcW w:w="1701" w:type="dxa"/>
            <w:vAlign w:val="center"/>
          </w:tcPr>
          <w:p w14:paraId="23F63AD9" w14:textId="3A7AED21" w:rsidR="004D4FD0" w:rsidRPr="00131250" w:rsidRDefault="004D4FD0" w:rsidP="005339BA">
            <w:pPr>
              <w:jc w:val="center"/>
              <w:rPr>
                <w:rFonts w:ascii="Arial" w:hAnsi="Arial" w:cs="Arial"/>
              </w:rPr>
            </w:pPr>
            <w:r w:rsidRPr="00131250">
              <w:rPr>
                <w:rFonts w:ascii="Arial" w:hAnsi="Arial" w:cs="Arial"/>
              </w:rPr>
              <w:t>Nominal</w:t>
            </w:r>
          </w:p>
        </w:tc>
        <w:tc>
          <w:tcPr>
            <w:tcW w:w="2277" w:type="dxa"/>
            <w:vAlign w:val="center"/>
          </w:tcPr>
          <w:p w14:paraId="767852E8" w14:textId="77777777" w:rsidR="004D4FD0" w:rsidRPr="00F639AF" w:rsidRDefault="004D4FD0" w:rsidP="004D4FD0">
            <w:pPr>
              <w:pStyle w:val="Prrafodelista"/>
              <w:numPr>
                <w:ilvl w:val="0"/>
                <w:numId w:val="10"/>
              </w:numPr>
              <w:ind w:left="241" w:hanging="241"/>
              <w:rPr>
                <w:rFonts w:ascii="Arial" w:hAnsi="Arial" w:cs="Arial"/>
              </w:rPr>
            </w:pPr>
            <w:r w:rsidRPr="00F639AF">
              <w:rPr>
                <w:rFonts w:ascii="Arial" w:hAnsi="Arial" w:cs="Arial"/>
              </w:rPr>
              <w:t>No: 0</w:t>
            </w:r>
          </w:p>
          <w:p w14:paraId="383C5AF1" w14:textId="01119827" w:rsidR="004D4FD0" w:rsidRPr="00F639AF" w:rsidRDefault="004D4FD0" w:rsidP="004D4FD0">
            <w:pPr>
              <w:pStyle w:val="Prrafodelista"/>
              <w:numPr>
                <w:ilvl w:val="0"/>
                <w:numId w:val="10"/>
              </w:numPr>
              <w:ind w:left="241" w:hanging="241"/>
              <w:rPr>
                <w:rFonts w:ascii="Arial" w:hAnsi="Arial" w:cs="Arial"/>
              </w:rPr>
            </w:pPr>
            <w:r w:rsidRPr="00F639AF">
              <w:rPr>
                <w:rFonts w:ascii="Arial" w:eastAsia="Times New Roman" w:hAnsi="Arial" w:cs="Arial"/>
              </w:rPr>
              <w:t>Si:   1</w:t>
            </w:r>
          </w:p>
        </w:tc>
        <w:tc>
          <w:tcPr>
            <w:tcW w:w="2243" w:type="dxa"/>
            <w:vAlign w:val="center"/>
          </w:tcPr>
          <w:p w14:paraId="7E79ADA8" w14:textId="34C87DB9" w:rsidR="004D4FD0" w:rsidRPr="00131250" w:rsidRDefault="004D4FD0" w:rsidP="005339BA">
            <w:pPr>
              <w:jc w:val="center"/>
              <w:rPr>
                <w:rFonts w:ascii="Arial" w:hAnsi="Arial" w:cs="Arial"/>
              </w:rPr>
            </w:pPr>
            <w:r w:rsidRPr="00131250">
              <w:rPr>
                <w:rFonts w:ascii="Arial" w:hAnsi="Arial" w:cs="Arial"/>
              </w:rPr>
              <w:t>Reporte en la historia clínica</w:t>
            </w:r>
          </w:p>
        </w:tc>
      </w:tr>
      <w:tr w:rsidR="00386D2C" w:rsidRPr="00131250" w14:paraId="4E2AAD60" w14:textId="77777777" w:rsidTr="007E60D0">
        <w:trPr>
          <w:trHeight w:val="61"/>
          <w:jc w:val="center"/>
        </w:trPr>
        <w:tc>
          <w:tcPr>
            <w:tcW w:w="2085" w:type="dxa"/>
            <w:vAlign w:val="center"/>
          </w:tcPr>
          <w:p w14:paraId="50C0FBC9" w14:textId="7714959E" w:rsidR="00386D2C" w:rsidRPr="00131250" w:rsidRDefault="00386D2C" w:rsidP="005339BA">
            <w:pPr>
              <w:jc w:val="center"/>
              <w:rPr>
                <w:rFonts w:ascii="Arial" w:hAnsi="Arial" w:cs="Arial"/>
              </w:rPr>
            </w:pPr>
            <w:r w:rsidRPr="00131250">
              <w:rPr>
                <w:rFonts w:ascii="Arial" w:hAnsi="Arial" w:cs="Arial"/>
              </w:rPr>
              <w:t>Sobrevida total</w:t>
            </w:r>
            <w:r w:rsidR="004D4FD0">
              <w:rPr>
                <w:rFonts w:ascii="Arial" w:hAnsi="Arial" w:cs="Arial"/>
              </w:rPr>
              <w:t xml:space="preserve"> (ST)</w:t>
            </w:r>
          </w:p>
        </w:tc>
        <w:tc>
          <w:tcPr>
            <w:tcW w:w="2169" w:type="dxa"/>
            <w:vAlign w:val="center"/>
          </w:tcPr>
          <w:p w14:paraId="16881CEC" w14:textId="6D04E286" w:rsidR="00386D2C" w:rsidRPr="00131250" w:rsidRDefault="00386D2C" w:rsidP="005339BA">
            <w:pPr>
              <w:jc w:val="center"/>
              <w:rPr>
                <w:rFonts w:ascii="Arial" w:hAnsi="Arial" w:cs="Arial"/>
              </w:rPr>
            </w:pPr>
            <w:r w:rsidRPr="00131250">
              <w:rPr>
                <w:rFonts w:ascii="Arial" w:hAnsi="Arial" w:cs="Arial"/>
              </w:rPr>
              <w:t xml:space="preserve">Número de años que vive la persona desde que se le hace el diagnóstico </w:t>
            </w:r>
            <w:proofErr w:type="spellStart"/>
            <w:r w:rsidRPr="00131250">
              <w:rPr>
                <w:rFonts w:ascii="Arial" w:hAnsi="Arial" w:cs="Arial"/>
              </w:rPr>
              <w:t>anatomo</w:t>
            </w:r>
            <w:proofErr w:type="spellEnd"/>
            <w:r w:rsidR="006033A8">
              <w:rPr>
                <w:rFonts w:ascii="Arial" w:hAnsi="Arial" w:cs="Arial"/>
              </w:rPr>
              <w:t>-</w:t>
            </w:r>
            <w:r w:rsidRPr="00131250">
              <w:rPr>
                <w:rFonts w:ascii="Arial" w:hAnsi="Arial" w:cs="Arial"/>
              </w:rPr>
              <w:t>patológico hasta su fallecimiento</w:t>
            </w:r>
          </w:p>
        </w:tc>
        <w:tc>
          <w:tcPr>
            <w:tcW w:w="1542" w:type="dxa"/>
            <w:vAlign w:val="center"/>
          </w:tcPr>
          <w:p w14:paraId="7ECA4779" w14:textId="77777777" w:rsidR="00386D2C" w:rsidRPr="00131250" w:rsidRDefault="00386D2C" w:rsidP="005339BA">
            <w:pPr>
              <w:jc w:val="center"/>
              <w:rPr>
                <w:rFonts w:ascii="Arial" w:hAnsi="Arial" w:cs="Arial"/>
              </w:rPr>
            </w:pPr>
            <w:r w:rsidRPr="00131250">
              <w:rPr>
                <w:rFonts w:ascii="Arial" w:hAnsi="Arial" w:cs="Arial"/>
              </w:rPr>
              <w:t>Cuantitativa continua</w:t>
            </w:r>
          </w:p>
        </w:tc>
        <w:tc>
          <w:tcPr>
            <w:tcW w:w="1701" w:type="dxa"/>
            <w:vAlign w:val="center"/>
          </w:tcPr>
          <w:p w14:paraId="3124E093" w14:textId="77777777" w:rsidR="00386D2C" w:rsidRPr="00131250" w:rsidRDefault="00386D2C" w:rsidP="005339BA">
            <w:pPr>
              <w:jc w:val="center"/>
              <w:rPr>
                <w:rFonts w:ascii="Arial" w:hAnsi="Arial" w:cs="Arial"/>
              </w:rPr>
            </w:pPr>
            <w:r w:rsidRPr="00131250">
              <w:rPr>
                <w:rFonts w:ascii="Arial" w:hAnsi="Arial" w:cs="Arial"/>
              </w:rPr>
              <w:t>Razón</w:t>
            </w:r>
          </w:p>
        </w:tc>
        <w:tc>
          <w:tcPr>
            <w:tcW w:w="2277" w:type="dxa"/>
            <w:vAlign w:val="center"/>
          </w:tcPr>
          <w:p w14:paraId="6EC8255E" w14:textId="253BCEE7" w:rsidR="00386D2C" w:rsidRPr="00F639AF" w:rsidRDefault="007C169D" w:rsidP="005339BA">
            <w:pPr>
              <w:ind w:firstLine="18"/>
              <w:rPr>
                <w:rFonts w:ascii="Arial" w:hAnsi="Arial" w:cs="Arial"/>
              </w:rPr>
            </w:pPr>
            <w:r w:rsidRPr="00F639AF">
              <w:rPr>
                <w:rFonts w:ascii="Arial" w:hAnsi="Arial" w:cs="Arial"/>
              </w:rPr>
              <w:t>- 0 -</w:t>
            </w:r>
            <w:r w:rsidR="00386D2C" w:rsidRPr="00F639AF">
              <w:rPr>
                <w:rFonts w:ascii="Arial" w:hAnsi="Arial" w:cs="Arial"/>
              </w:rPr>
              <w:t>84 años</w:t>
            </w:r>
          </w:p>
        </w:tc>
        <w:tc>
          <w:tcPr>
            <w:tcW w:w="2243" w:type="dxa"/>
            <w:vAlign w:val="center"/>
          </w:tcPr>
          <w:p w14:paraId="0F4E694F" w14:textId="77777777" w:rsidR="00386D2C" w:rsidRPr="00131250" w:rsidRDefault="00386D2C" w:rsidP="005339BA">
            <w:pPr>
              <w:jc w:val="center"/>
              <w:rPr>
                <w:rFonts w:ascii="Arial" w:hAnsi="Arial" w:cs="Arial"/>
              </w:rPr>
            </w:pPr>
            <w:r w:rsidRPr="00131250">
              <w:rPr>
                <w:rFonts w:ascii="Arial" w:hAnsi="Arial" w:cs="Arial"/>
              </w:rPr>
              <w:t>Años registrados en la historia clínica</w:t>
            </w:r>
          </w:p>
        </w:tc>
      </w:tr>
      <w:tr w:rsidR="005339BA" w:rsidRPr="00131250" w14:paraId="2F99A43E" w14:textId="77777777" w:rsidTr="007E60D0">
        <w:trPr>
          <w:trHeight w:val="274"/>
          <w:jc w:val="center"/>
        </w:trPr>
        <w:tc>
          <w:tcPr>
            <w:tcW w:w="2085" w:type="dxa"/>
            <w:vAlign w:val="center"/>
          </w:tcPr>
          <w:p w14:paraId="2C56D579" w14:textId="77777777" w:rsidR="005339BA" w:rsidRDefault="005339BA" w:rsidP="005339BA">
            <w:pPr>
              <w:jc w:val="center"/>
              <w:rPr>
                <w:rFonts w:ascii="Arial" w:hAnsi="Arial" w:cs="Arial"/>
              </w:rPr>
            </w:pPr>
            <w:r>
              <w:rPr>
                <w:rFonts w:ascii="Arial" w:hAnsi="Arial" w:cs="Arial"/>
              </w:rPr>
              <w:t xml:space="preserve"> </w:t>
            </w:r>
          </w:p>
          <w:p w14:paraId="5CA35786" w14:textId="1A4844DC" w:rsidR="005339BA" w:rsidRDefault="005339BA" w:rsidP="005339BA">
            <w:pPr>
              <w:jc w:val="center"/>
              <w:rPr>
                <w:rFonts w:ascii="Arial" w:hAnsi="Arial" w:cs="Arial"/>
              </w:rPr>
            </w:pPr>
            <w:r>
              <w:rPr>
                <w:rFonts w:ascii="Arial" w:hAnsi="Arial" w:cs="Arial"/>
              </w:rPr>
              <w:t>Sobrevida libre de progresión (SLP)</w:t>
            </w:r>
          </w:p>
          <w:p w14:paraId="68963CD8" w14:textId="62E0943A" w:rsidR="005339BA" w:rsidRPr="00131250" w:rsidRDefault="005339BA" w:rsidP="005339BA">
            <w:pPr>
              <w:jc w:val="center"/>
              <w:rPr>
                <w:rFonts w:ascii="Arial" w:hAnsi="Arial" w:cs="Arial"/>
              </w:rPr>
            </w:pPr>
          </w:p>
        </w:tc>
        <w:tc>
          <w:tcPr>
            <w:tcW w:w="2169" w:type="dxa"/>
            <w:vAlign w:val="center"/>
          </w:tcPr>
          <w:p w14:paraId="3AE8165A" w14:textId="7B74B602" w:rsidR="005C11AA" w:rsidRDefault="004D4FD0" w:rsidP="005C11AA">
            <w:pPr>
              <w:rPr>
                <w:sz w:val="24"/>
                <w:szCs w:val="24"/>
              </w:rPr>
            </w:pPr>
            <w:r>
              <w:rPr>
                <w:rFonts w:ascii="Arial" w:hAnsi="Arial" w:cs="Arial"/>
                <w:color w:val="222222"/>
                <w:shd w:val="clear" w:color="auto" w:fill="FFFFFF"/>
              </w:rPr>
              <w:t xml:space="preserve">Número de años del </w:t>
            </w:r>
            <w:r w:rsidR="005C11AA">
              <w:rPr>
                <w:rFonts w:ascii="Arial" w:hAnsi="Arial" w:cs="Arial"/>
                <w:color w:val="222222"/>
                <w:shd w:val="clear" w:color="auto" w:fill="FFFFFF"/>
              </w:rPr>
              <w:t>tratamiento </w:t>
            </w:r>
            <w:r w:rsidR="005C11AA" w:rsidRPr="004D4FD0">
              <w:rPr>
                <w:rFonts w:ascii="Arial" w:hAnsi="Arial" w:cs="Arial"/>
                <w:bCs/>
                <w:color w:val="222222"/>
                <w:shd w:val="clear" w:color="auto" w:fill="FFFFFF"/>
              </w:rPr>
              <w:t>que</w:t>
            </w:r>
            <w:r>
              <w:rPr>
                <w:rFonts w:ascii="Arial" w:hAnsi="Arial" w:cs="Arial"/>
                <w:color w:val="222222"/>
                <w:shd w:val="clear" w:color="auto" w:fill="FFFFFF"/>
              </w:rPr>
              <w:t xml:space="preserve"> un paciente </w:t>
            </w:r>
            <w:r w:rsidR="005C11AA">
              <w:rPr>
                <w:rFonts w:ascii="Arial" w:hAnsi="Arial" w:cs="Arial"/>
                <w:color w:val="222222"/>
                <w:shd w:val="clear" w:color="auto" w:fill="FFFFFF"/>
              </w:rPr>
              <w:t>sobrevive</w:t>
            </w:r>
            <w:r w:rsidR="005C11AA" w:rsidRPr="004D4FD0">
              <w:rPr>
                <w:rFonts w:ascii="Arial" w:hAnsi="Arial" w:cs="Arial"/>
                <w:color w:val="222222"/>
                <w:shd w:val="clear" w:color="auto" w:fill="FFFFFF"/>
              </w:rPr>
              <w:t> </w:t>
            </w:r>
            <w:r w:rsidR="005C11AA" w:rsidRPr="004D4FD0">
              <w:rPr>
                <w:rFonts w:ascii="Arial" w:hAnsi="Arial" w:cs="Arial"/>
                <w:bCs/>
                <w:color w:val="222222"/>
                <w:shd w:val="clear" w:color="auto" w:fill="FFFFFF"/>
              </w:rPr>
              <w:t>sin</w:t>
            </w:r>
            <w:r w:rsidR="005C11AA" w:rsidRPr="004D4FD0">
              <w:rPr>
                <w:rFonts w:ascii="Arial" w:hAnsi="Arial" w:cs="Arial"/>
                <w:color w:val="222222"/>
                <w:shd w:val="clear" w:color="auto" w:fill="FFFFFF"/>
              </w:rPr>
              <w:t> </w:t>
            </w:r>
            <w:r>
              <w:rPr>
                <w:rFonts w:ascii="Arial" w:hAnsi="Arial" w:cs="Arial"/>
                <w:color w:val="222222"/>
                <w:shd w:val="clear" w:color="auto" w:fill="FFFFFF"/>
              </w:rPr>
              <w:t>presencia de la</w:t>
            </w:r>
            <w:r w:rsidR="005C11AA">
              <w:rPr>
                <w:rFonts w:ascii="Arial" w:hAnsi="Arial" w:cs="Arial"/>
                <w:color w:val="222222"/>
                <w:shd w:val="clear" w:color="auto" w:fill="FFFFFF"/>
              </w:rPr>
              <w:t xml:space="preserve"> enfermedad en </w:t>
            </w:r>
            <w:r>
              <w:rPr>
                <w:rFonts w:ascii="Arial" w:hAnsi="Arial" w:cs="Arial"/>
                <w:color w:val="222222"/>
                <w:shd w:val="clear" w:color="auto" w:fill="FFFFFF"/>
              </w:rPr>
              <w:t>el mismo lugar o diferente a donde se originó.</w:t>
            </w:r>
          </w:p>
          <w:p w14:paraId="66A9213A" w14:textId="77777777" w:rsidR="005339BA" w:rsidRPr="00131250" w:rsidRDefault="005339BA" w:rsidP="005339BA">
            <w:pPr>
              <w:jc w:val="center"/>
              <w:rPr>
                <w:rFonts w:ascii="Arial" w:hAnsi="Arial" w:cs="Arial"/>
              </w:rPr>
            </w:pPr>
          </w:p>
        </w:tc>
        <w:tc>
          <w:tcPr>
            <w:tcW w:w="1542" w:type="dxa"/>
            <w:vAlign w:val="center"/>
          </w:tcPr>
          <w:p w14:paraId="016CAA75" w14:textId="107C52C4" w:rsidR="005339BA" w:rsidRPr="00131250" w:rsidRDefault="005339BA" w:rsidP="005339BA">
            <w:pPr>
              <w:jc w:val="center"/>
              <w:rPr>
                <w:rFonts w:ascii="Arial" w:hAnsi="Arial" w:cs="Arial"/>
              </w:rPr>
            </w:pPr>
            <w:r w:rsidRPr="00131250">
              <w:rPr>
                <w:rFonts w:ascii="Arial" w:hAnsi="Arial" w:cs="Arial"/>
              </w:rPr>
              <w:lastRenderedPageBreak/>
              <w:t>Cuantitativa continua</w:t>
            </w:r>
          </w:p>
        </w:tc>
        <w:tc>
          <w:tcPr>
            <w:tcW w:w="1701" w:type="dxa"/>
            <w:vAlign w:val="center"/>
          </w:tcPr>
          <w:p w14:paraId="40D3EBB3" w14:textId="5E54E87C" w:rsidR="005339BA" w:rsidRPr="00131250" w:rsidRDefault="00C06595" w:rsidP="005339BA">
            <w:pPr>
              <w:jc w:val="center"/>
              <w:rPr>
                <w:rFonts w:ascii="Arial" w:hAnsi="Arial" w:cs="Arial"/>
              </w:rPr>
            </w:pPr>
            <w:r w:rsidRPr="00131250">
              <w:rPr>
                <w:rFonts w:ascii="Arial" w:hAnsi="Arial" w:cs="Arial"/>
              </w:rPr>
              <w:t>Razón</w:t>
            </w:r>
          </w:p>
        </w:tc>
        <w:tc>
          <w:tcPr>
            <w:tcW w:w="2277" w:type="dxa"/>
            <w:vAlign w:val="center"/>
          </w:tcPr>
          <w:p w14:paraId="1D05F76A" w14:textId="3DDD8A6F" w:rsidR="005339BA" w:rsidRPr="00F639AF" w:rsidRDefault="004D4FD0" w:rsidP="005339BA">
            <w:pPr>
              <w:ind w:firstLine="18"/>
              <w:rPr>
                <w:rFonts w:ascii="Arial" w:hAnsi="Arial" w:cs="Arial"/>
              </w:rPr>
            </w:pPr>
            <w:r w:rsidRPr="00F639AF">
              <w:rPr>
                <w:rFonts w:ascii="Arial" w:hAnsi="Arial" w:cs="Arial"/>
              </w:rPr>
              <w:t>- 0 -84 años</w:t>
            </w:r>
          </w:p>
        </w:tc>
        <w:tc>
          <w:tcPr>
            <w:tcW w:w="2243" w:type="dxa"/>
            <w:vAlign w:val="center"/>
          </w:tcPr>
          <w:p w14:paraId="08F16418" w14:textId="4CC6B27F" w:rsidR="005339BA" w:rsidRPr="00131250" w:rsidRDefault="005339BA" w:rsidP="005339BA">
            <w:pPr>
              <w:jc w:val="center"/>
              <w:rPr>
                <w:rFonts w:ascii="Arial" w:hAnsi="Arial" w:cs="Arial"/>
              </w:rPr>
            </w:pPr>
            <w:r w:rsidRPr="00131250">
              <w:rPr>
                <w:rFonts w:ascii="Arial" w:hAnsi="Arial" w:cs="Arial"/>
              </w:rPr>
              <w:t>Años registrados en la historia clínica</w:t>
            </w:r>
          </w:p>
        </w:tc>
      </w:tr>
      <w:tr w:rsidR="00386D2C" w:rsidRPr="00131250" w14:paraId="2BA05C94" w14:textId="77777777" w:rsidTr="007E60D0">
        <w:trPr>
          <w:trHeight w:val="61"/>
          <w:jc w:val="center"/>
        </w:trPr>
        <w:tc>
          <w:tcPr>
            <w:tcW w:w="2085" w:type="dxa"/>
            <w:vAlign w:val="center"/>
          </w:tcPr>
          <w:p w14:paraId="564A261F" w14:textId="77777777" w:rsidR="00386D2C" w:rsidRPr="00131250" w:rsidRDefault="00386D2C" w:rsidP="005339BA">
            <w:pPr>
              <w:jc w:val="center"/>
              <w:rPr>
                <w:rFonts w:ascii="Arial" w:hAnsi="Arial" w:cs="Arial"/>
              </w:rPr>
            </w:pPr>
            <w:r w:rsidRPr="00131250">
              <w:rPr>
                <w:rFonts w:ascii="Arial" w:hAnsi="Arial" w:cs="Arial"/>
              </w:rPr>
              <w:lastRenderedPageBreak/>
              <w:t>Estatus de sobrevida</w:t>
            </w:r>
          </w:p>
        </w:tc>
        <w:tc>
          <w:tcPr>
            <w:tcW w:w="2169" w:type="dxa"/>
            <w:vAlign w:val="center"/>
          </w:tcPr>
          <w:p w14:paraId="75A562D4" w14:textId="77777777" w:rsidR="00386D2C" w:rsidRPr="00131250" w:rsidRDefault="00386D2C" w:rsidP="005339BA">
            <w:pPr>
              <w:jc w:val="center"/>
              <w:rPr>
                <w:rFonts w:ascii="Arial" w:hAnsi="Arial" w:cs="Arial"/>
              </w:rPr>
            </w:pPr>
            <w:r w:rsidRPr="00131250">
              <w:rPr>
                <w:rFonts w:ascii="Arial" w:hAnsi="Arial" w:cs="Arial"/>
              </w:rPr>
              <w:t>Estado vital del paciente en el punto de corte del investigador</w:t>
            </w:r>
          </w:p>
        </w:tc>
        <w:tc>
          <w:tcPr>
            <w:tcW w:w="1542" w:type="dxa"/>
            <w:vAlign w:val="center"/>
          </w:tcPr>
          <w:p w14:paraId="64CD4A9C" w14:textId="77777777" w:rsidR="00386D2C" w:rsidRPr="00131250" w:rsidRDefault="00386D2C" w:rsidP="005339BA">
            <w:pPr>
              <w:jc w:val="center"/>
              <w:rPr>
                <w:rFonts w:ascii="Arial" w:hAnsi="Arial" w:cs="Arial"/>
              </w:rPr>
            </w:pPr>
            <w:r w:rsidRPr="00131250">
              <w:rPr>
                <w:rFonts w:ascii="Arial" w:hAnsi="Arial" w:cs="Arial"/>
              </w:rPr>
              <w:t>Cualitativa Dicotómica</w:t>
            </w:r>
          </w:p>
        </w:tc>
        <w:tc>
          <w:tcPr>
            <w:tcW w:w="1701" w:type="dxa"/>
            <w:vAlign w:val="center"/>
          </w:tcPr>
          <w:p w14:paraId="32B43C95" w14:textId="77777777" w:rsidR="00386D2C" w:rsidRPr="00131250" w:rsidRDefault="00386D2C" w:rsidP="005339BA">
            <w:pPr>
              <w:jc w:val="center"/>
              <w:rPr>
                <w:rFonts w:ascii="Arial" w:hAnsi="Arial" w:cs="Arial"/>
              </w:rPr>
            </w:pPr>
            <w:r w:rsidRPr="00131250">
              <w:rPr>
                <w:rFonts w:ascii="Arial" w:hAnsi="Arial" w:cs="Arial"/>
              </w:rPr>
              <w:t>Nominal</w:t>
            </w:r>
          </w:p>
        </w:tc>
        <w:tc>
          <w:tcPr>
            <w:tcW w:w="2277" w:type="dxa"/>
            <w:vAlign w:val="center"/>
          </w:tcPr>
          <w:p w14:paraId="4784E7E9" w14:textId="77777777" w:rsidR="00386D2C" w:rsidRPr="00F639AF" w:rsidRDefault="00386D2C" w:rsidP="00C355BF">
            <w:pPr>
              <w:pStyle w:val="Prrafodelista"/>
              <w:numPr>
                <w:ilvl w:val="0"/>
                <w:numId w:val="10"/>
              </w:numPr>
              <w:ind w:left="241" w:hanging="241"/>
              <w:rPr>
                <w:rFonts w:ascii="Arial" w:hAnsi="Arial" w:cs="Arial"/>
              </w:rPr>
            </w:pPr>
            <w:r w:rsidRPr="00F639AF">
              <w:rPr>
                <w:rFonts w:ascii="Arial" w:hAnsi="Arial" w:cs="Arial"/>
              </w:rPr>
              <w:t>Vivo: 0</w:t>
            </w:r>
          </w:p>
          <w:p w14:paraId="50C1AFEF" w14:textId="77777777" w:rsidR="00386D2C" w:rsidRPr="00F639AF" w:rsidRDefault="00386D2C" w:rsidP="00C355BF">
            <w:pPr>
              <w:pStyle w:val="Prrafodelista"/>
              <w:numPr>
                <w:ilvl w:val="0"/>
                <w:numId w:val="10"/>
              </w:numPr>
              <w:ind w:left="241" w:hanging="241"/>
              <w:rPr>
                <w:rFonts w:ascii="Arial" w:hAnsi="Arial" w:cs="Arial"/>
              </w:rPr>
            </w:pPr>
            <w:r w:rsidRPr="00F639AF">
              <w:rPr>
                <w:rFonts w:ascii="Arial" w:hAnsi="Arial" w:cs="Arial"/>
              </w:rPr>
              <w:t>Fallecido: 1</w:t>
            </w:r>
          </w:p>
        </w:tc>
        <w:tc>
          <w:tcPr>
            <w:tcW w:w="2243" w:type="dxa"/>
            <w:vAlign w:val="center"/>
          </w:tcPr>
          <w:p w14:paraId="318738F2" w14:textId="7EFF3AAE" w:rsidR="00386D2C" w:rsidRPr="00131250" w:rsidRDefault="00386D2C" w:rsidP="005339BA">
            <w:pPr>
              <w:jc w:val="center"/>
              <w:rPr>
                <w:rFonts w:ascii="Arial" w:hAnsi="Arial" w:cs="Arial"/>
              </w:rPr>
            </w:pPr>
            <w:r w:rsidRPr="00131250">
              <w:rPr>
                <w:rFonts w:ascii="Arial" w:hAnsi="Arial" w:cs="Arial"/>
              </w:rPr>
              <w:t xml:space="preserve">Según su último contacto reportado en </w:t>
            </w:r>
            <w:r w:rsidR="00DD01E9">
              <w:rPr>
                <w:rFonts w:ascii="Arial" w:hAnsi="Arial" w:cs="Arial"/>
              </w:rPr>
              <w:t>l</w:t>
            </w:r>
            <w:r w:rsidRPr="00131250">
              <w:rPr>
                <w:rFonts w:ascii="Arial" w:hAnsi="Arial" w:cs="Arial"/>
              </w:rPr>
              <w:t>a historia clínica</w:t>
            </w:r>
          </w:p>
        </w:tc>
      </w:tr>
      <w:tr w:rsidR="00386D2C" w:rsidRPr="00131250" w14:paraId="167B0EBC" w14:textId="77777777" w:rsidTr="007E60D0">
        <w:trPr>
          <w:trHeight w:val="735"/>
          <w:jc w:val="center"/>
        </w:trPr>
        <w:tc>
          <w:tcPr>
            <w:tcW w:w="2085" w:type="dxa"/>
            <w:vAlign w:val="center"/>
          </w:tcPr>
          <w:p w14:paraId="420C6A3D" w14:textId="77777777" w:rsidR="00386D2C" w:rsidRPr="00131250" w:rsidRDefault="00386D2C" w:rsidP="005339BA">
            <w:pPr>
              <w:jc w:val="center"/>
              <w:rPr>
                <w:rFonts w:ascii="Arial" w:hAnsi="Arial" w:cs="Arial"/>
              </w:rPr>
            </w:pPr>
            <w:r w:rsidRPr="00131250">
              <w:rPr>
                <w:rFonts w:ascii="Arial" w:hAnsi="Arial" w:cs="Arial"/>
              </w:rPr>
              <w:t xml:space="preserve">Muerte asociada a </w:t>
            </w:r>
            <w:r>
              <w:rPr>
                <w:rFonts w:ascii="Arial" w:hAnsi="Arial" w:cs="Arial"/>
              </w:rPr>
              <w:t xml:space="preserve">ATLL </w:t>
            </w:r>
          </w:p>
        </w:tc>
        <w:tc>
          <w:tcPr>
            <w:tcW w:w="2169" w:type="dxa"/>
            <w:vAlign w:val="center"/>
          </w:tcPr>
          <w:p w14:paraId="71548325" w14:textId="77777777" w:rsidR="00386D2C" w:rsidRPr="00131250" w:rsidRDefault="00386D2C" w:rsidP="005339BA">
            <w:pPr>
              <w:jc w:val="center"/>
              <w:rPr>
                <w:rFonts w:ascii="Arial" w:hAnsi="Arial" w:cs="Arial"/>
              </w:rPr>
            </w:pPr>
            <w:r w:rsidRPr="00131250">
              <w:rPr>
                <w:rFonts w:ascii="Arial" w:hAnsi="Arial" w:cs="Arial"/>
              </w:rPr>
              <w:t>Etiología que condujo a deceso al paciente asociado a linfoma</w:t>
            </w:r>
          </w:p>
        </w:tc>
        <w:tc>
          <w:tcPr>
            <w:tcW w:w="1542" w:type="dxa"/>
            <w:vAlign w:val="center"/>
          </w:tcPr>
          <w:p w14:paraId="52380C3D" w14:textId="77777777" w:rsidR="00386D2C" w:rsidRPr="00131250" w:rsidRDefault="00386D2C" w:rsidP="005339BA">
            <w:pPr>
              <w:jc w:val="center"/>
              <w:rPr>
                <w:rFonts w:ascii="Arial" w:hAnsi="Arial" w:cs="Arial"/>
              </w:rPr>
            </w:pPr>
            <w:r w:rsidRPr="00131250">
              <w:rPr>
                <w:rFonts w:ascii="Arial" w:hAnsi="Arial" w:cs="Arial"/>
              </w:rPr>
              <w:t>Cualitativa Dicotómica</w:t>
            </w:r>
          </w:p>
        </w:tc>
        <w:tc>
          <w:tcPr>
            <w:tcW w:w="1701" w:type="dxa"/>
            <w:vAlign w:val="center"/>
          </w:tcPr>
          <w:p w14:paraId="4B3A6C48" w14:textId="77777777" w:rsidR="00386D2C" w:rsidRPr="00131250" w:rsidRDefault="00386D2C" w:rsidP="005339BA">
            <w:pPr>
              <w:jc w:val="center"/>
              <w:rPr>
                <w:rFonts w:ascii="Arial" w:hAnsi="Arial" w:cs="Arial"/>
              </w:rPr>
            </w:pPr>
            <w:r w:rsidRPr="00131250">
              <w:rPr>
                <w:rFonts w:ascii="Arial" w:hAnsi="Arial" w:cs="Arial"/>
              </w:rPr>
              <w:t>Nominal</w:t>
            </w:r>
          </w:p>
        </w:tc>
        <w:tc>
          <w:tcPr>
            <w:tcW w:w="2277" w:type="dxa"/>
            <w:vAlign w:val="center"/>
          </w:tcPr>
          <w:p w14:paraId="1B58E41E" w14:textId="46906BA8" w:rsidR="00386D2C" w:rsidRPr="00F639AF" w:rsidRDefault="00DC2CA4" w:rsidP="00C355BF">
            <w:pPr>
              <w:pStyle w:val="Prrafodelista"/>
              <w:numPr>
                <w:ilvl w:val="0"/>
                <w:numId w:val="10"/>
              </w:numPr>
              <w:ind w:left="241" w:hanging="241"/>
              <w:rPr>
                <w:rFonts w:ascii="Arial" w:hAnsi="Arial" w:cs="Arial"/>
              </w:rPr>
            </w:pPr>
            <w:r w:rsidRPr="00F639AF">
              <w:rPr>
                <w:rFonts w:ascii="Arial" w:hAnsi="Arial" w:cs="Arial"/>
              </w:rPr>
              <w:t>Si</w:t>
            </w:r>
            <w:r w:rsidR="00386D2C" w:rsidRPr="00F639AF">
              <w:rPr>
                <w:rFonts w:ascii="Arial" w:hAnsi="Arial" w:cs="Arial"/>
              </w:rPr>
              <w:t>: 0</w:t>
            </w:r>
          </w:p>
          <w:p w14:paraId="3C342432" w14:textId="2B0AD4B1" w:rsidR="00386D2C" w:rsidRPr="00F639AF" w:rsidRDefault="00DC2CA4" w:rsidP="00C355BF">
            <w:pPr>
              <w:pStyle w:val="Prrafodelista"/>
              <w:numPr>
                <w:ilvl w:val="0"/>
                <w:numId w:val="10"/>
              </w:numPr>
              <w:ind w:left="241" w:hanging="241"/>
              <w:rPr>
                <w:rFonts w:ascii="Arial" w:hAnsi="Arial" w:cs="Arial"/>
              </w:rPr>
            </w:pPr>
            <w:r w:rsidRPr="00F639AF">
              <w:rPr>
                <w:rFonts w:ascii="Arial" w:hAnsi="Arial" w:cs="Arial"/>
              </w:rPr>
              <w:t>No</w:t>
            </w:r>
            <w:r w:rsidR="00386D2C" w:rsidRPr="00F639AF">
              <w:rPr>
                <w:rFonts w:ascii="Arial" w:hAnsi="Arial" w:cs="Arial"/>
              </w:rPr>
              <w:t>: 1</w:t>
            </w:r>
          </w:p>
        </w:tc>
        <w:tc>
          <w:tcPr>
            <w:tcW w:w="2243" w:type="dxa"/>
            <w:vAlign w:val="center"/>
          </w:tcPr>
          <w:p w14:paraId="375D6F13" w14:textId="77777777" w:rsidR="00386D2C" w:rsidRPr="00131250" w:rsidRDefault="00386D2C" w:rsidP="005339BA">
            <w:pPr>
              <w:jc w:val="center"/>
              <w:rPr>
                <w:rFonts w:ascii="Arial" w:hAnsi="Arial" w:cs="Arial"/>
              </w:rPr>
            </w:pPr>
            <w:r w:rsidRPr="00131250">
              <w:rPr>
                <w:rFonts w:ascii="Arial" w:hAnsi="Arial" w:cs="Arial"/>
              </w:rPr>
              <w:t>Causa de muerte reportada en la historia clínica</w:t>
            </w:r>
          </w:p>
        </w:tc>
      </w:tr>
    </w:tbl>
    <w:p w14:paraId="09F10C2E" w14:textId="3379A6AF" w:rsidR="00CA5904" w:rsidRDefault="00CA5904" w:rsidP="00C355BF">
      <w:pPr>
        <w:autoSpaceDE w:val="0"/>
        <w:autoSpaceDN w:val="0"/>
        <w:adjustRightInd w:val="0"/>
        <w:jc w:val="both"/>
        <w:rPr>
          <w:rFonts w:ascii="Arial" w:hAnsi="Arial" w:cs="Arial"/>
          <w:color w:val="000000"/>
          <w:sz w:val="20"/>
          <w:szCs w:val="20"/>
        </w:rPr>
      </w:pPr>
    </w:p>
    <w:p w14:paraId="64056386" w14:textId="77777777" w:rsidR="00CA5904" w:rsidRPr="00CA5904" w:rsidRDefault="00CA5904" w:rsidP="00CA5904">
      <w:pPr>
        <w:rPr>
          <w:rFonts w:ascii="Arial" w:hAnsi="Arial" w:cs="Arial"/>
          <w:sz w:val="20"/>
          <w:szCs w:val="20"/>
        </w:rPr>
      </w:pPr>
    </w:p>
    <w:p w14:paraId="39DC640E" w14:textId="77777777" w:rsidR="00CA5904" w:rsidRPr="00CA5904" w:rsidRDefault="00CA5904" w:rsidP="00CA5904">
      <w:pPr>
        <w:rPr>
          <w:rFonts w:ascii="Arial" w:hAnsi="Arial" w:cs="Arial"/>
          <w:sz w:val="20"/>
          <w:szCs w:val="20"/>
        </w:rPr>
      </w:pPr>
    </w:p>
    <w:p w14:paraId="5CFC653C" w14:textId="0655D465" w:rsidR="00C355BF" w:rsidRPr="00CA5904" w:rsidRDefault="00C355BF" w:rsidP="00CA5904">
      <w:pPr>
        <w:tabs>
          <w:tab w:val="left" w:pos="3600"/>
        </w:tabs>
        <w:rPr>
          <w:rFonts w:ascii="Arial" w:hAnsi="Arial" w:cs="Arial"/>
          <w:sz w:val="20"/>
          <w:szCs w:val="20"/>
        </w:rPr>
        <w:sectPr w:rsidR="00C355BF" w:rsidRPr="00CA5904" w:rsidSect="005339BA">
          <w:pgSz w:w="16838" w:h="11906" w:orient="landscape" w:code="9"/>
          <w:pgMar w:top="1701" w:right="1418" w:bottom="1701" w:left="1418" w:header="709" w:footer="709" w:gutter="0"/>
          <w:cols w:space="708"/>
          <w:titlePg/>
          <w:docGrid w:linePitch="360"/>
        </w:sectPr>
      </w:pPr>
    </w:p>
    <w:p w14:paraId="14CE543A" w14:textId="01F67DD2" w:rsidR="00CA5904" w:rsidRPr="00BE44E0" w:rsidRDefault="00474960" w:rsidP="00CA5904">
      <w:pPr>
        <w:autoSpaceDE w:val="0"/>
        <w:autoSpaceDN w:val="0"/>
        <w:adjustRightInd w:val="0"/>
        <w:rPr>
          <w:rFonts w:ascii="Arial" w:hAnsi="Arial" w:cs="Arial"/>
          <w:b/>
          <w:bCs/>
          <w:color w:val="000000"/>
          <w:sz w:val="20"/>
          <w:szCs w:val="20"/>
        </w:rPr>
      </w:pPr>
      <w:r>
        <w:rPr>
          <w:rFonts w:ascii="Arial" w:hAnsi="Arial" w:cs="Arial"/>
          <w:b/>
          <w:bCs/>
          <w:color w:val="000000"/>
          <w:sz w:val="20"/>
          <w:szCs w:val="20"/>
        </w:rPr>
        <w:lastRenderedPageBreak/>
        <w:t xml:space="preserve">3.5. </w:t>
      </w:r>
      <w:r w:rsidR="00CA5904" w:rsidRPr="00BE44E0">
        <w:rPr>
          <w:rFonts w:ascii="Arial" w:hAnsi="Arial" w:cs="Arial"/>
          <w:b/>
          <w:bCs/>
          <w:color w:val="000000"/>
          <w:sz w:val="20"/>
          <w:szCs w:val="20"/>
        </w:rPr>
        <w:t>Procedimientos y técnicas de recolección de información.</w:t>
      </w:r>
    </w:p>
    <w:p w14:paraId="4A81ED1E" w14:textId="77777777" w:rsidR="00CA5904" w:rsidRDefault="00CA5904" w:rsidP="00CA5904">
      <w:pPr>
        <w:autoSpaceDE w:val="0"/>
        <w:autoSpaceDN w:val="0"/>
        <w:adjustRightInd w:val="0"/>
        <w:jc w:val="both"/>
        <w:rPr>
          <w:rFonts w:ascii="Arial" w:hAnsi="Arial" w:cs="Arial"/>
          <w:color w:val="000000"/>
          <w:sz w:val="20"/>
          <w:szCs w:val="20"/>
        </w:rPr>
      </w:pPr>
    </w:p>
    <w:p w14:paraId="118F6BF4" w14:textId="149E90DA" w:rsidR="00CA5904" w:rsidRPr="00CA5904" w:rsidRDefault="00CA5904" w:rsidP="00474960">
      <w:pPr>
        <w:pStyle w:val="Estilo2"/>
        <w:numPr>
          <w:ilvl w:val="0"/>
          <w:numId w:val="0"/>
        </w:numPr>
        <w:tabs>
          <w:tab w:val="left" w:pos="567"/>
        </w:tabs>
        <w:spacing w:line="240" w:lineRule="auto"/>
        <w:rPr>
          <w:b w:val="0"/>
          <w:color w:val="000000" w:themeColor="text1"/>
          <w:sz w:val="20"/>
          <w:szCs w:val="20"/>
        </w:rPr>
      </w:pPr>
      <w:r w:rsidRPr="00CA5904">
        <w:rPr>
          <w:b w:val="0"/>
          <w:color w:val="000000" w:themeColor="text1"/>
          <w:sz w:val="20"/>
          <w:szCs w:val="20"/>
        </w:rPr>
        <w:t xml:space="preserve">Para el presente estudio, porque se trata de un análisis de datos secundario más que un instrumento propiamente dicho se diseñó una ficha de recolección de datos estructurada (Anexo 1.1). Ésta será llenada por los investigadores tomando como fuente primaria la historia clínica de cada paciente. </w:t>
      </w:r>
    </w:p>
    <w:p w14:paraId="2227AB3A" w14:textId="77777777" w:rsidR="00D24984" w:rsidRDefault="00D24984" w:rsidP="00474960">
      <w:pPr>
        <w:pStyle w:val="Estilo2"/>
        <w:numPr>
          <w:ilvl w:val="0"/>
          <w:numId w:val="0"/>
        </w:numPr>
        <w:tabs>
          <w:tab w:val="left" w:pos="567"/>
        </w:tabs>
        <w:spacing w:line="240" w:lineRule="auto"/>
        <w:rPr>
          <w:b w:val="0"/>
          <w:color w:val="000000" w:themeColor="text1"/>
          <w:sz w:val="20"/>
          <w:szCs w:val="20"/>
        </w:rPr>
      </w:pPr>
    </w:p>
    <w:p w14:paraId="4CF742DA" w14:textId="77A8FCFE" w:rsidR="00CA5904" w:rsidRPr="00CA5904" w:rsidRDefault="00CA5904" w:rsidP="00474960">
      <w:pPr>
        <w:pStyle w:val="Estilo2"/>
        <w:numPr>
          <w:ilvl w:val="0"/>
          <w:numId w:val="0"/>
        </w:numPr>
        <w:tabs>
          <w:tab w:val="left" w:pos="567"/>
        </w:tabs>
        <w:spacing w:line="240" w:lineRule="auto"/>
        <w:rPr>
          <w:b w:val="0"/>
          <w:color w:val="000000" w:themeColor="text1"/>
          <w:sz w:val="20"/>
          <w:szCs w:val="20"/>
        </w:rPr>
      </w:pPr>
      <w:r w:rsidRPr="00CA5904">
        <w:rPr>
          <w:b w:val="0"/>
          <w:color w:val="000000" w:themeColor="text1"/>
          <w:sz w:val="20"/>
          <w:szCs w:val="20"/>
        </w:rPr>
        <w:t xml:space="preserve">Toda la información registrada </w:t>
      </w:r>
      <w:r w:rsidR="00D24984">
        <w:rPr>
          <w:b w:val="0"/>
          <w:color w:val="000000" w:themeColor="text1"/>
          <w:sz w:val="20"/>
          <w:szCs w:val="20"/>
        </w:rPr>
        <w:t xml:space="preserve">en una </w:t>
      </w:r>
      <w:r w:rsidRPr="00CA5904">
        <w:rPr>
          <w:b w:val="0"/>
          <w:color w:val="000000" w:themeColor="text1"/>
          <w:sz w:val="20"/>
          <w:szCs w:val="20"/>
        </w:rPr>
        <w:t xml:space="preserve">hoja Excel </w:t>
      </w:r>
      <w:r w:rsidR="00D24984">
        <w:rPr>
          <w:b w:val="0"/>
          <w:color w:val="000000" w:themeColor="text1"/>
          <w:sz w:val="20"/>
          <w:szCs w:val="20"/>
        </w:rPr>
        <w:t>y la identificación de cada paciente será codificada con sus iniciales de los nombres y apellidos.</w:t>
      </w:r>
      <w:r w:rsidRPr="00CA5904">
        <w:rPr>
          <w:b w:val="0"/>
          <w:color w:val="000000" w:themeColor="text1"/>
          <w:sz w:val="20"/>
          <w:szCs w:val="20"/>
        </w:rPr>
        <w:t xml:space="preserve"> Una vez controlada la calidad de los datos se procederá a realizar un análisis descriptivo de nuestros resultados. Las variables cualitativas serán resumidas según su frecuencia relativa y frecuencia absoluta, mientras que las variables cuantitativas serán resumidas según su media ± desviación estándar. </w:t>
      </w:r>
    </w:p>
    <w:p w14:paraId="44CC8E3F" w14:textId="77777777" w:rsidR="00CA5904" w:rsidRPr="00CA5904" w:rsidRDefault="00CA5904" w:rsidP="00474960">
      <w:pPr>
        <w:jc w:val="both"/>
        <w:rPr>
          <w:rFonts w:ascii="Arial" w:hAnsi="Arial" w:cs="Arial"/>
          <w:color w:val="000000" w:themeColor="text1"/>
          <w:sz w:val="20"/>
          <w:szCs w:val="20"/>
        </w:rPr>
      </w:pPr>
    </w:p>
    <w:p w14:paraId="52E97296" w14:textId="77777777" w:rsidR="00826B40" w:rsidRDefault="00826B40" w:rsidP="00474960">
      <w:pPr>
        <w:autoSpaceDE w:val="0"/>
        <w:autoSpaceDN w:val="0"/>
        <w:adjustRightInd w:val="0"/>
        <w:jc w:val="both"/>
        <w:rPr>
          <w:rFonts w:ascii="Arial" w:hAnsi="Arial" w:cs="Arial"/>
          <w:color w:val="000000"/>
          <w:sz w:val="20"/>
          <w:szCs w:val="20"/>
        </w:rPr>
      </w:pPr>
    </w:p>
    <w:p w14:paraId="1367C05C" w14:textId="77777777" w:rsidR="00474960" w:rsidRDefault="00474960" w:rsidP="00474960">
      <w:pPr>
        <w:autoSpaceDE w:val="0"/>
        <w:autoSpaceDN w:val="0"/>
        <w:adjustRightInd w:val="0"/>
        <w:jc w:val="both"/>
        <w:rPr>
          <w:rFonts w:ascii="Arial" w:hAnsi="Arial" w:cs="Arial"/>
          <w:color w:val="000000"/>
          <w:sz w:val="20"/>
          <w:szCs w:val="20"/>
        </w:rPr>
      </w:pPr>
      <w:r>
        <w:rPr>
          <w:rFonts w:ascii="Arial" w:hAnsi="Arial" w:cs="Arial"/>
          <w:b/>
          <w:bCs/>
          <w:color w:val="000000"/>
          <w:sz w:val="20"/>
          <w:szCs w:val="20"/>
        </w:rPr>
        <w:t xml:space="preserve">3.6. </w:t>
      </w:r>
      <w:r w:rsidR="00826B40" w:rsidRPr="00BE44E0">
        <w:rPr>
          <w:rFonts w:ascii="Arial" w:hAnsi="Arial" w:cs="Arial"/>
          <w:b/>
          <w:bCs/>
          <w:color w:val="000000"/>
          <w:sz w:val="20"/>
          <w:szCs w:val="20"/>
        </w:rPr>
        <w:t>Plan de análisis</w:t>
      </w:r>
      <w:r w:rsidR="00826B40">
        <w:rPr>
          <w:rFonts w:ascii="Arial" w:hAnsi="Arial" w:cs="Arial"/>
          <w:color w:val="000000"/>
          <w:sz w:val="20"/>
          <w:szCs w:val="20"/>
        </w:rPr>
        <w:t>.</w:t>
      </w:r>
    </w:p>
    <w:p w14:paraId="7A2695CC" w14:textId="77777777" w:rsidR="00474960" w:rsidRDefault="00474960" w:rsidP="00474960">
      <w:pPr>
        <w:autoSpaceDE w:val="0"/>
        <w:autoSpaceDN w:val="0"/>
        <w:adjustRightInd w:val="0"/>
        <w:jc w:val="both"/>
        <w:rPr>
          <w:rFonts w:ascii="Arial" w:hAnsi="Arial" w:cs="Arial"/>
          <w:color w:val="000000"/>
          <w:sz w:val="20"/>
          <w:szCs w:val="20"/>
        </w:rPr>
      </w:pPr>
    </w:p>
    <w:p w14:paraId="33ECEF76" w14:textId="0E4B4F1C" w:rsidR="00826B40" w:rsidRPr="00474960" w:rsidRDefault="00826B40" w:rsidP="00474960">
      <w:pPr>
        <w:autoSpaceDE w:val="0"/>
        <w:autoSpaceDN w:val="0"/>
        <w:adjustRightInd w:val="0"/>
        <w:jc w:val="both"/>
        <w:rPr>
          <w:rFonts w:ascii="Arial" w:hAnsi="Arial" w:cs="Arial"/>
          <w:color w:val="000000"/>
          <w:sz w:val="20"/>
          <w:szCs w:val="20"/>
        </w:rPr>
      </w:pPr>
      <w:r w:rsidRPr="005C14E8">
        <w:rPr>
          <w:rFonts w:ascii="Arial" w:hAnsi="Arial" w:cs="Arial"/>
          <w:sz w:val="20"/>
          <w:szCs w:val="20"/>
        </w:rPr>
        <w:t xml:space="preserve">Una vez resumidos los datos se procederá a realizar el análisis </w:t>
      </w:r>
      <w:proofErr w:type="spellStart"/>
      <w:r w:rsidRPr="005C14E8">
        <w:rPr>
          <w:rFonts w:ascii="Arial" w:hAnsi="Arial" w:cs="Arial"/>
          <w:sz w:val="20"/>
          <w:szCs w:val="20"/>
        </w:rPr>
        <w:t>bivariado</w:t>
      </w:r>
      <w:proofErr w:type="spellEnd"/>
      <w:r w:rsidRPr="005C14E8">
        <w:rPr>
          <w:rFonts w:ascii="Arial" w:hAnsi="Arial" w:cs="Arial"/>
          <w:sz w:val="20"/>
          <w:szCs w:val="20"/>
        </w:rPr>
        <w:t xml:space="preserve"> de los datos. Para tal efecto, haciendo uso de un modelo de regresión de Cox se estimarán funciones de sobrevida e intervalos de confianza a los 95% para los expuestos y no expuestos a la mortalidad. Luego se realizará un análisis multivariado, según el método forward de modelos anidados, a fin de discriminar cuáles variables entre todas nuestras variables de interés constituyen factores asociados a mortalidad a cinco años. Finalmente, se estimará la sobrevida media a cinco años graficando la curva de Kaplan </w:t>
      </w:r>
      <w:proofErr w:type="spellStart"/>
      <w:r w:rsidRPr="005C14E8">
        <w:rPr>
          <w:rFonts w:ascii="Arial" w:hAnsi="Arial" w:cs="Arial"/>
          <w:sz w:val="20"/>
          <w:szCs w:val="20"/>
        </w:rPr>
        <w:t>Meier</w:t>
      </w:r>
      <w:proofErr w:type="spellEnd"/>
      <w:r w:rsidRPr="005C14E8">
        <w:rPr>
          <w:rFonts w:ascii="Arial" w:hAnsi="Arial" w:cs="Arial"/>
          <w:sz w:val="20"/>
          <w:szCs w:val="20"/>
        </w:rPr>
        <w:t>. En todos los casos los estadísticos serán reportados con un intervalo de confianza al 95%.</w:t>
      </w:r>
    </w:p>
    <w:p w14:paraId="23AB4FF2" w14:textId="77777777" w:rsidR="00826B40" w:rsidRPr="005C14E8" w:rsidRDefault="00826B40" w:rsidP="00474960">
      <w:pPr>
        <w:jc w:val="both"/>
        <w:rPr>
          <w:rFonts w:ascii="Arial" w:hAnsi="Arial" w:cs="Arial"/>
          <w:sz w:val="20"/>
          <w:szCs w:val="20"/>
        </w:rPr>
      </w:pPr>
    </w:p>
    <w:p w14:paraId="7E26B4BA" w14:textId="77777777" w:rsidR="00826B40" w:rsidRDefault="00826B40" w:rsidP="00474960">
      <w:pPr>
        <w:autoSpaceDE w:val="0"/>
        <w:autoSpaceDN w:val="0"/>
        <w:adjustRightInd w:val="0"/>
        <w:jc w:val="both"/>
        <w:rPr>
          <w:rFonts w:ascii="Arial" w:hAnsi="Arial" w:cs="Arial"/>
          <w:color w:val="000000"/>
          <w:sz w:val="20"/>
          <w:szCs w:val="20"/>
        </w:rPr>
      </w:pPr>
      <w:r w:rsidRPr="005C14E8">
        <w:rPr>
          <w:rFonts w:ascii="Arial" w:hAnsi="Arial" w:cs="Arial"/>
          <w:sz w:val="20"/>
          <w:szCs w:val="20"/>
        </w:rPr>
        <w:t>El análisis de los datos se realizará utilizando el paquete estadístico STATA MP v1</w:t>
      </w:r>
      <w:r>
        <w:rPr>
          <w:rFonts w:ascii="Arial" w:hAnsi="Arial" w:cs="Arial"/>
          <w:sz w:val="20"/>
          <w:szCs w:val="20"/>
        </w:rPr>
        <w:t>6</w:t>
      </w:r>
      <w:r w:rsidRPr="005C14E8">
        <w:rPr>
          <w:rFonts w:ascii="Arial" w:hAnsi="Arial" w:cs="Arial"/>
          <w:sz w:val="20"/>
          <w:szCs w:val="20"/>
        </w:rPr>
        <w:t xml:space="preserve"> (</w:t>
      </w:r>
      <w:proofErr w:type="spellStart"/>
      <w:r w:rsidRPr="005C14E8">
        <w:rPr>
          <w:rFonts w:ascii="Arial" w:hAnsi="Arial" w:cs="Arial"/>
          <w:sz w:val="20"/>
          <w:szCs w:val="20"/>
        </w:rPr>
        <w:t>Statacorp</w:t>
      </w:r>
      <w:proofErr w:type="spellEnd"/>
      <w:r w:rsidRPr="005C14E8">
        <w:rPr>
          <w:rFonts w:ascii="Arial" w:hAnsi="Arial" w:cs="Arial"/>
          <w:sz w:val="20"/>
          <w:szCs w:val="20"/>
        </w:rPr>
        <w:t>, Texas, USA) con la asistencia de un experto en estadística</w:t>
      </w:r>
      <w:r>
        <w:rPr>
          <w:rFonts w:ascii="Arial" w:hAnsi="Arial" w:cs="Arial"/>
          <w:sz w:val="20"/>
          <w:szCs w:val="20"/>
        </w:rPr>
        <w:t>.</w:t>
      </w:r>
    </w:p>
    <w:p w14:paraId="2DF03E28" w14:textId="77777777" w:rsidR="00826B40" w:rsidRDefault="00826B40" w:rsidP="00826B40">
      <w:pPr>
        <w:autoSpaceDE w:val="0"/>
        <w:autoSpaceDN w:val="0"/>
        <w:adjustRightInd w:val="0"/>
        <w:jc w:val="both"/>
        <w:rPr>
          <w:rFonts w:ascii="Arial" w:hAnsi="Arial" w:cs="Arial"/>
          <w:color w:val="000000"/>
          <w:sz w:val="20"/>
          <w:szCs w:val="20"/>
        </w:rPr>
      </w:pPr>
    </w:p>
    <w:p w14:paraId="748D3E4C" w14:textId="77777777" w:rsidR="00826B40" w:rsidRDefault="00826B40" w:rsidP="00826B40">
      <w:pPr>
        <w:autoSpaceDE w:val="0"/>
        <w:autoSpaceDN w:val="0"/>
        <w:adjustRightInd w:val="0"/>
        <w:jc w:val="both"/>
        <w:rPr>
          <w:rFonts w:ascii="Arial" w:hAnsi="Arial" w:cs="Arial"/>
          <w:color w:val="000000"/>
          <w:sz w:val="20"/>
          <w:szCs w:val="20"/>
        </w:rPr>
      </w:pPr>
    </w:p>
    <w:p w14:paraId="699BEB88" w14:textId="79F5B836" w:rsidR="00826B40" w:rsidRPr="00BE44E0" w:rsidRDefault="00474960" w:rsidP="00826B4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 xml:space="preserve">3.7. </w:t>
      </w:r>
      <w:r w:rsidR="00826B40" w:rsidRPr="00BE44E0">
        <w:rPr>
          <w:rFonts w:ascii="Arial" w:hAnsi="Arial" w:cs="Arial"/>
          <w:b/>
          <w:bCs/>
          <w:color w:val="000000"/>
          <w:sz w:val="20"/>
          <w:szCs w:val="20"/>
        </w:rPr>
        <w:t>Limitaciones y viabilidad.</w:t>
      </w:r>
    </w:p>
    <w:p w14:paraId="1DA7BF6A" w14:textId="77777777" w:rsidR="00826B40" w:rsidRDefault="00826B40" w:rsidP="00826B40">
      <w:pPr>
        <w:autoSpaceDE w:val="0"/>
        <w:autoSpaceDN w:val="0"/>
        <w:adjustRightInd w:val="0"/>
        <w:jc w:val="both"/>
        <w:rPr>
          <w:rFonts w:ascii="Arial" w:hAnsi="Arial" w:cs="Arial"/>
          <w:color w:val="000000"/>
          <w:sz w:val="20"/>
          <w:szCs w:val="20"/>
        </w:rPr>
      </w:pPr>
    </w:p>
    <w:p w14:paraId="4766F46A" w14:textId="77777777" w:rsidR="00826B40" w:rsidRDefault="00826B40" w:rsidP="00826B40">
      <w:pPr>
        <w:autoSpaceDE w:val="0"/>
        <w:autoSpaceDN w:val="0"/>
        <w:adjustRightInd w:val="0"/>
        <w:jc w:val="both"/>
        <w:rPr>
          <w:rFonts w:ascii="Arial" w:hAnsi="Arial" w:cs="Arial"/>
          <w:color w:val="000000"/>
          <w:sz w:val="20"/>
          <w:szCs w:val="20"/>
        </w:rPr>
      </w:pPr>
    </w:p>
    <w:p w14:paraId="21606724" w14:textId="77777777" w:rsidR="00826B40" w:rsidRDefault="00826B40" w:rsidP="00474960">
      <w:pPr>
        <w:jc w:val="both"/>
        <w:rPr>
          <w:rFonts w:ascii="Arial" w:hAnsi="Arial" w:cs="Arial"/>
          <w:sz w:val="20"/>
          <w:szCs w:val="20"/>
        </w:rPr>
      </w:pPr>
      <w:r w:rsidRPr="005C14E8">
        <w:rPr>
          <w:rFonts w:ascii="Arial" w:hAnsi="Arial" w:cs="Arial"/>
          <w:sz w:val="20"/>
          <w:szCs w:val="20"/>
        </w:rPr>
        <w:t xml:space="preserve">Una de las principales limitaciones del estudio es </w:t>
      </w:r>
      <w:r>
        <w:rPr>
          <w:rFonts w:ascii="Arial" w:hAnsi="Arial" w:cs="Arial"/>
          <w:sz w:val="20"/>
          <w:szCs w:val="20"/>
        </w:rPr>
        <w:t xml:space="preserve">su </w:t>
      </w:r>
      <w:r>
        <w:rPr>
          <w:rFonts w:ascii="Arial" w:hAnsi="Arial" w:cs="Arial"/>
          <w:sz w:val="20"/>
          <w:szCs w:val="20"/>
        </w:rPr>
        <w:t>naturaleza retrospectiva del estudio</w:t>
      </w:r>
      <w:r>
        <w:rPr>
          <w:rFonts w:ascii="Arial" w:hAnsi="Arial" w:cs="Arial"/>
          <w:sz w:val="20"/>
          <w:szCs w:val="20"/>
        </w:rPr>
        <w:t>, donde se tiene que</w:t>
      </w:r>
      <w:r w:rsidRPr="005C14E8">
        <w:rPr>
          <w:rFonts w:ascii="Arial" w:hAnsi="Arial" w:cs="Arial"/>
          <w:sz w:val="20"/>
          <w:szCs w:val="20"/>
        </w:rPr>
        <w:t xml:space="preserve"> trabajar con fuentes secundarias (historias clín</w:t>
      </w:r>
      <w:r>
        <w:rPr>
          <w:rFonts w:ascii="Arial" w:hAnsi="Arial" w:cs="Arial"/>
          <w:sz w:val="20"/>
          <w:szCs w:val="20"/>
        </w:rPr>
        <w:t xml:space="preserve">icas), las cuales se encontrarían en algunos casos incompletas y probablemente con </w:t>
      </w:r>
      <w:r w:rsidRPr="005C14E8">
        <w:rPr>
          <w:rFonts w:ascii="Arial" w:hAnsi="Arial" w:cs="Arial"/>
          <w:sz w:val="20"/>
          <w:szCs w:val="20"/>
        </w:rPr>
        <w:t>errores de regis</w:t>
      </w:r>
      <w:r>
        <w:rPr>
          <w:rFonts w:ascii="Arial" w:hAnsi="Arial" w:cs="Arial"/>
          <w:sz w:val="20"/>
          <w:szCs w:val="20"/>
        </w:rPr>
        <w:t xml:space="preserve">tro. </w:t>
      </w:r>
    </w:p>
    <w:p w14:paraId="5DACA5F7" w14:textId="77777777" w:rsidR="00826B40" w:rsidRDefault="00826B40" w:rsidP="00826B40">
      <w:pPr>
        <w:ind w:left="708"/>
        <w:jc w:val="both"/>
        <w:rPr>
          <w:rFonts w:ascii="Arial" w:hAnsi="Arial" w:cs="Arial"/>
          <w:sz w:val="20"/>
          <w:szCs w:val="20"/>
        </w:rPr>
      </w:pPr>
    </w:p>
    <w:p w14:paraId="649EAB2A" w14:textId="77777777" w:rsidR="00826B40" w:rsidRDefault="00826B40" w:rsidP="00474960">
      <w:pPr>
        <w:jc w:val="both"/>
        <w:rPr>
          <w:rFonts w:ascii="Arial" w:hAnsi="Arial" w:cs="Arial"/>
          <w:bCs/>
          <w:sz w:val="20"/>
          <w:szCs w:val="20"/>
        </w:rPr>
      </w:pPr>
      <w:r w:rsidRPr="00CA182D">
        <w:rPr>
          <w:rFonts w:ascii="Arial" w:hAnsi="Arial" w:cs="Arial"/>
          <w:bCs/>
          <w:sz w:val="20"/>
          <w:szCs w:val="20"/>
        </w:rPr>
        <w:t>En cuanto a la viabilidad del estudio</w:t>
      </w:r>
      <w:r>
        <w:rPr>
          <w:rFonts w:ascii="Arial" w:hAnsi="Arial" w:cs="Arial"/>
          <w:bCs/>
          <w:sz w:val="20"/>
          <w:szCs w:val="20"/>
        </w:rPr>
        <w:t xml:space="preserve">, </w:t>
      </w:r>
      <w:r>
        <w:rPr>
          <w:rFonts w:ascii="Arial" w:hAnsi="Arial" w:cs="Arial"/>
          <w:bCs/>
          <w:sz w:val="20"/>
          <w:szCs w:val="20"/>
        </w:rPr>
        <w:t>se cuenta con la participación de 9 países pertenecientes al grupo GELL para el registro de casos, siendo 5 países (Perú, Chile y Colombia) catalogados como endémicos.</w:t>
      </w:r>
    </w:p>
    <w:p w14:paraId="0384172E" w14:textId="77777777" w:rsidR="00826B40" w:rsidRDefault="00826B40" w:rsidP="00826B40">
      <w:pPr>
        <w:ind w:left="708"/>
        <w:jc w:val="both"/>
        <w:rPr>
          <w:rFonts w:ascii="Arial" w:hAnsi="Arial" w:cs="Arial"/>
          <w:bCs/>
          <w:sz w:val="20"/>
          <w:szCs w:val="20"/>
        </w:rPr>
      </w:pPr>
    </w:p>
    <w:p w14:paraId="5009148D" w14:textId="4C4083A5" w:rsidR="00826B40" w:rsidRPr="005C14E8" w:rsidRDefault="00826B40" w:rsidP="00474960">
      <w:pPr>
        <w:jc w:val="both"/>
        <w:rPr>
          <w:rFonts w:ascii="Arial" w:hAnsi="Arial" w:cs="Arial"/>
          <w:sz w:val="20"/>
          <w:szCs w:val="20"/>
        </w:rPr>
      </w:pPr>
      <w:r w:rsidRPr="005C14E8">
        <w:rPr>
          <w:rFonts w:ascii="Arial" w:hAnsi="Arial" w:cs="Arial"/>
          <w:sz w:val="20"/>
          <w:szCs w:val="20"/>
        </w:rPr>
        <w:t xml:space="preserve">Se </w:t>
      </w:r>
      <w:r>
        <w:rPr>
          <w:rFonts w:ascii="Arial" w:hAnsi="Arial" w:cs="Arial"/>
          <w:sz w:val="20"/>
          <w:szCs w:val="20"/>
        </w:rPr>
        <w:t>solicitará</w:t>
      </w:r>
      <w:r w:rsidRPr="005C14E8">
        <w:rPr>
          <w:rFonts w:ascii="Arial" w:hAnsi="Arial" w:cs="Arial"/>
          <w:sz w:val="20"/>
          <w:szCs w:val="20"/>
        </w:rPr>
        <w:t xml:space="preserve"> la autor</w:t>
      </w:r>
      <w:r>
        <w:rPr>
          <w:rFonts w:ascii="Arial" w:hAnsi="Arial" w:cs="Arial"/>
          <w:sz w:val="20"/>
          <w:szCs w:val="20"/>
        </w:rPr>
        <w:t>ización del Comité de Ética de cada institución que pertenece al grupo GELL.</w:t>
      </w:r>
      <w:r w:rsidRPr="005C14E8">
        <w:rPr>
          <w:rFonts w:ascii="Arial" w:hAnsi="Arial" w:cs="Arial"/>
          <w:sz w:val="20"/>
          <w:szCs w:val="20"/>
        </w:rPr>
        <w:t xml:space="preserve"> </w:t>
      </w:r>
    </w:p>
    <w:p w14:paraId="076651F3" w14:textId="77777777" w:rsidR="00826B40" w:rsidRPr="0057307E" w:rsidRDefault="00826B40" w:rsidP="00826B40">
      <w:pPr>
        <w:autoSpaceDE w:val="0"/>
        <w:autoSpaceDN w:val="0"/>
        <w:adjustRightInd w:val="0"/>
        <w:jc w:val="both"/>
        <w:rPr>
          <w:rFonts w:ascii="Arial" w:hAnsi="Arial" w:cs="Arial"/>
          <w:color w:val="000000"/>
          <w:sz w:val="20"/>
          <w:szCs w:val="20"/>
        </w:rPr>
      </w:pPr>
    </w:p>
    <w:p w14:paraId="7B6279E4" w14:textId="77777777" w:rsidR="00826B40" w:rsidRDefault="00826B40" w:rsidP="00826B40">
      <w:pPr>
        <w:autoSpaceDE w:val="0"/>
        <w:autoSpaceDN w:val="0"/>
        <w:adjustRightInd w:val="0"/>
        <w:jc w:val="both"/>
        <w:rPr>
          <w:rFonts w:ascii="Arial" w:hAnsi="Arial" w:cs="Arial"/>
          <w:color w:val="000000"/>
          <w:sz w:val="20"/>
          <w:szCs w:val="20"/>
        </w:rPr>
      </w:pPr>
    </w:p>
    <w:p w14:paraId="0BEB1CE3" w14:textId="045BB02E" w:rsidR="00826B40" w:rsidRPr="0081057C" w:rsidRDefault="00474960" w:rsidP="00826B40">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 xml:space="preserve">3.8. </w:t>
      </w:r>
      <w:r w:rsidR="00826B40" w:rsidRPr="0081057C">
        <w:rPr>
          <w:rFonts w:ascii="Arial" w:hAnsi="Arial" w:cs="Arial"/>
          <w:b/>
          <w:bCs/>
          <w:color w:val="000000"/>
          <w:sz w:val="20"/>
          <w:szCs w:val="20"/>
        </w:rPr>
        <w:t>Aspectos éticos.</w:t>
      </w:r>
    </w:p>
    <w:p w14:paraId="55BFEA15" w14:textId="77777777" w:rsidR="00826B40" w:rsidRDefault="00826B40" w:rsidP="00826B40">
      <w:pPr>
        <w:jc w:val="both"/>
        <w:rPr>
          <w:rFonts w:ascii="Arial" w:hAnsi="Arial" w:cs="Arial"/>
          <w:sz w:val="20"/>
          <w:szCs w:val="20"/>
        </w:rPr>
      </w:pPr>
    </w:p>
    <w:p w14:paraId="3E841B9E" w14:textId="77777777" w:rsidR="00826B40" w:rsidRDefault="00826B40" w:rsidP="00826B40">
      <w:pPr>
        <w:jc w:val="both"/>
        <w:rPr>
          <w:rFonts w:ascii="Arial" w:hAnsi="Arial" w:cs="Arial"/>
          <w:sz w:val="20"/>
          <w:szCs w:val="20"/>
        </w:rPr>
      </w:pPr>
    </w:p>
    <w:p w14:paraId="6D245D21" w14:textId="541F1A02" w:rsidR="00826B40" w:rsidRPr="005C14E8" w:rsidRDefault="00826B40" w:rsidP="00474960">
      <w:pPr>
        <w:jc w:val="both"/>
        <w:rPr>
          <w:rFonts w:ascii="Arial" w:hAnsi="Arial" w:cs="Arial"/>
          <w:sz w:val="20"/>
          <w:szCs w:val="20"/>
        </w:rPr>
      </w:pPr>
      <w:r w:rsidRPr="005C14E8">
        <w:rPr>
          <w:rFonts w:ascii="Arial" w:hAnsi="Arial" w:cs="Arial"/>
          <w:sz w:val="20"/>
          <w:szCs w:val="20"/>
        </w:rPr>
        <w:t>Dado que el presente estudio clasifica por su naturaleza como un análisis secundario de datos el mismo no supone ningún riesgo para los pacientes. Por la misma razón, nuestra principal consideración ética consiste en codificar todos los identificadores de manera tal que no se permita la identificación directa o indirecta de nuestras unidades de análisis, respetando en todo momento las normas internacionales de la investigación. A lo largo del estudio se salvaguardará el anonimato de todos los sujetos estudiados</w:t>
      </w:r>
      <w:r w:rsidR="00863AA6">
        <w:rPr>
          <w:rFonts w:ascii="Arial" w:hAnsi="Arial" w:cs="Arial"/>
          <w:sz w:val="20"/>
          <w:szCs w:val="20"/>
        </w:rPr>
        <w:t xml:space="preserve"> mediante la codificación de cada caso y esta base de datos sólo será accesible para los investigadores principales del estudio, el cuál contarán con una clave de acceso</w:t>
      </w:r>
      <w:r w:rsidRPr="005C14E8">
        <w:rPr>
          <w:rFonts w:ascii="Arial" w:hAnsi="Arial" w:cs="Arial"/>
          <w:sz w:val="20"/>
          <w:szCs w:val="20"/>
        </w:rPr>
        <w:t>. Asimismo, en cumplimiento con la regulación de aprobación de protocolos de investigación será</w:t>
      </w:r>
      <w:r w:rsidR="00A81C24">
        <w:rPr>
          <w:rFonts w:ascii="Arial" w:hAnsi="Arial" w:cs="Arial"/>
          <w:sz w:val="20"/>
          <w:szCs w:val="20"/>
        </w:rPr>
        <w:t>n</w:t>
      </w:r>
      <w:r w:rsidRPr="005C14E8">
        <w:rPr>
          <w:rFonts w:ascii="Arial" w:hAnsi="Arial" w:cs="Arial"/>
          <w:sz w:val="20"/>
          <w:szCs w:val="20"/>
        </w:rPr>
        <w:t xml:space="preserve"> sometido a aprobación por parte del comité de Ética </w:t>
      </w:r>
      <w:r w:rsidR="009648B3">
        <w:rPr>
          <w:rFonts w:ascii="Arial" w:hAnsi="Arial" w:cs="Arial"/>
          <w:sz w:val="20"/>
          <w:szCs w:val="20"/>
        </w:rPr>
        <w:t>de cada institución de cada país que pertenezca al grupo GELL</w:t>
      </w:r>
      <w:r w:rsidRPr="005C14E8">
        <w:rPr>
          <w:rFonts w:ascii="Arial" w:hAnsi="Arial" w:cs="Arial"/>
          <w:sz w:val="20"/>
          <w:szCs w:val="20"/>
        </w:rPr>
        <w:t xml:space="preserve">. </w:t>
      </w:r>
    </w:p>
    <w:p w14:paraId="2715A7F0" w14:textId="77777777" w:rsidR="00826B40" w:rsidRPr="005C14E8" w:rsidRDefault="00826B40" w:rsidP="00826B40">
      <w:pPr>
        <w:jc w:val="both"/>
        <w:rPr>
          <w:rFonts w:ascii="Arial" w:hAnsi="Arial" w:cs="Arial"/>
          <w:sz w:val="20"/>
          <w:szCs w:val="20"/>
        </w:rPr>
      </w:pPr>
    </w:p>
    <w:p w14:paraId="04D859DD" w14:textId="26D10EE3" w:rsidR="00826B40" w:rsidRPr="005C14E8" w:rsidRDefault="00826B40" w:rsidP="00474960">
      <w:pPr>
        <w:jc w:val="both"/>
        <w:rPr>
          <w:rFonts w:ascii="Arial" w:hAnsi="Arial" w:cs="Arial"/>
          <w:sz w:val="20"/>
          <w:szCs w:val="20"/>
        </w:rPr>
      </w:pPr>
      <w:r w:rsidRPr="005C14E8">
        <w:rPr>
          <w:rFonts w:ascii="Arial" w:hAnsi="Arial" w:cs="Arial"/>
          <w:sz w:val="20"/>
          <w:szCs w:val="20"/>
        </w:rPr>
        <w:t xml:space="preserve">Los resultados finales serán difundidos </w:t>
      </w:r>
      <w:r w:rsidR="00863AA6">
        <w:rPr>
          <w:rFonts w:ascii="Arial" w:hAnsi="Arial" w:cs="Arial"/>
          <w:sz w:val="20"/>
          <w:szCs w:val="20"/>
        </w:rPr>
        <w:t xml:space="preserve">en todos los países que conforman el grupo GELL </w:t>
      </w:r>
      <w:r w:rsidR="009648B3">
        <w:rPr>
          <w:rFonts w:ascii="Arial" w:hAnsi="Arial" w:cs="Arial"/>
          <w:sz w:val="20"/>
          <w:szCs w:val="20"/>
        </w:rPr>
        <w:t>y</w:t>
      </w:r>
      <w:r w:rsidRPr="005C14E8">
        <w:rPr>
          <w:rFonts w:ascii="Arial" w:hAnsi="Arial" w:cs="Arial"/>
          <w:sz w:val="20"/>
          <w:szCs w:val="20"/>
        </w:rPr>
        <w:t xml:space="preserve"> será de libre acceso para los pacientes</w:t>
      </w:r>
      <w:r w:rsidR="00863AA6">
        <w:rPr>
          <w:rFonts w:ascii="Arial" w:hAnsi="Arial" w:cs="Arial"/>
          <w:sz w:val="20"/>
          <w:szCs w:val="20"/>
        </w:rPr>
        <w:t xml:space="preserve"> cuando lo requieran</w:t>
      </w:r>
      <w:r w:rsidRPr="005C14E8">
        <w:rPr>
          <w:rFonts w:ascii="Arial" w:hAnsi="Arial" w:cs="Arial"/>
          <w:sz w:val="20"/>
          <w:szCs w:val="20"/>
        </w:rPr>
        <w:t>. Además, se planea publicar los resultados en una revista científica de acceso público y gratuito.</w:t>
      </w:r>
      <w:r>
        <w:rPr>
          <w:rFonts w:ascii="Arial" w:hAnsi="Arial" w:cs="Arial"/>
          <w:sz w:val="20"/>
          <w:szCs w:val="20"/>
        </w:rPr>
        <w:t xml:space="preserve"> </w:t>
      </w:r>
      <w:r w:rsidRPr="0081057C">
        <w:rPr>
          <w:rFonts w:ascii="Arial" w:hAnsi="Arial" w:cs="Arial"/>
          <w:sz w:val="20"/>
          <w:szCs w:val="20"/>
        </w:rPr>
        <w:t xml:space="preserve">Los resultados publicados mantendrán la absoluta </w:t>
      </w:r>
      <w:r w:rsidRPr="0081057C">
        <w:rPr>
          <w:rFonts w:ascii="Arial" w:hAnsi="Arial" w:cs="Arial"/>
          <w:sz w:val="20"/>
          <w:szCs w:val="20"/>
        </w:rPr>
        <w:lastRenderedPageBreak/>
        <w:t>confidencialidad de la identificación de los pacientes y si es que se encuentra impacto en sobrevida, se comunicará a los pacientes sobres los resultados a futuro.</w:t>
      </w:r>
    </w:p>
    <w:p w14:paraId="7AFC252F" w14:textId="77777777" w:rsidR="00826B40" w:rsidRDefault="00826B40" w:rsidP="00826B40">
      <w:pPr>
        <w:jc w:val="both"/>
        <w:rPr>
          <w:rFonts w:ascii="Arial" w:hAnsi="Arial" w:cs="Arial"/>
          <w:sz w:val="20"/>
          <w:szCs w:val="20"/>
        </w:rPr>
      </w:pPr>
    </w:p>
    <w:p w14:paraId="362B7B3A" w14:textId="77777777" w:rsidR="00826B40" w:rsidRDefault="00826B40" w:rsidP="00826B40">
      <w:pPr>
        <w:jc w:val="both"/>
        <w:rPr>
          <w:rFonts w:ascii="Arial" w:hAnsi="Arial" w:cs="Arial"/>
          <w:sz w:val="20"/>
          <w:szCs w:val="20"/>
        </w:rPr>
      </w:pPr>
    </w:p>
    <w:p w14:paraId="4027A43F" w14:textId="77777777" w:rsidR="00D63686" w:rsidRDefault="00D63686" w:rsidP="00D63686">
      <w:pPr>
        <w:jc w:val="both"/>
        <w:rPr>
          <w:rFonts w:ascii="Arial" w:hAnsi="Arial" w:cs="Arial"/>
          <w:b/>
          <w:bCs/>
          <w:sz w:val="20"/>
          <w:szCs w:val="20"/>
        </w:rPr>
      </w:pPr>
      <w:r w:rsidRPr="0081057C">
        <w:rPr>
          <w:rFonts w:ascii="Arial" w:hAnsi="Arial" w:cs="Arial"/>
          <w:b/>
          <w:bCs/>
          <w:color w:val="000000"/>
          <w:sz w:val="20"/>
          <w:szCs w:val="20"/>
        </w:rPr>
        <w:t>CAPITULO IV.</w:t>
      </w:r>
      <w:r>
        <w:rPr>
          <w:rFonts w:ascii="Arial" w:hAnsi="Arial" w:cs="Arial"/>
          <w:color w:val="000000"/>
          <w:sz w:val="20"/>
          <w:szCs w:val="20"/>
        </w:rPr>
        <w:t xml:space="preserve"> </w:t>
      </w:r>
      <w:r w:rsidRPr="002B7AA7">
        <w:rPr>
          <w:rFonts w:ascii="Arial" w:hAnsi="Arial" w:cs="Arial"/>
          <w:b/>
          <w:bCs/>
          <w:sz w:val="20"/>
          <w:szCs w:val="20"/>
        </w:rPr>
        <w:t>REFERENCIAS BIBLIOGRÁFICAS</w:t>
      </w:r>
    </w:p>
    <w:p w14:paraId="4BD4DD14" w14:textId="77777777" w:rsidR="00D63686" w:rsidRDefault="00D63686" w:rsidP="00D63686">
      <w:pPr>
        <w:ind w:left="708" w:hanging="708"/>
        <w:jc w:val="both"/>
        <w:rPr>
          <w:rFonts w:ascii="Arial" w:hAnsi="Arial" w:cs="Arial"/>
          <w:b/>
          <w:bCs/>
          <w:sz w:val="20"/>
          <w:szCs w:val="20"/>
        </w:rPr>
      </w:pPr>
    </w:p>
    <w:bookmarkStart w:id="0" w:name="_GoBack"/>
    <w:p w14:paraId="39B8F534" w14:textId="48941E70" w:rsidR="00111EA9" w:rsidRPr="00111EA9" w:rsidRDefault="00D63686" w:rsidP="00717582">
      <w:pPr>
        <w:widowControl w:val="0"/>
        <w:autoSpaceDE w:val="0"/>
        <w:autoSpaceDN w:val="0"/>
        <w:adjustRightInd w:val="0"/>
        <w:ind w:left="640" w:hanging="640"/>
        <w:jc w:val="both"/>
        <w:rPr>
          <w:rFonts w:ascii="Arial" w:eastAsia="Times New Roman" w:hAnsi="Arial" w:cs="Arial"/>
          <w:noProof/>
          <w:sz w:val="20"/>
        </w:rPr>
      </w:pPr>
      <w:r>
        <w:rPr>
          <w:rFonts w:ascii="Arial" w:hAnsi="Arial" w:cs="Arial"/>
          <w:b/>
          <w:bCs/>
          <w:sz w:val="20"/>
          <w:szCs w:val="20"/>
        </w:rPr>
        <w:fldChar w:fldCharType="begin" w:fldLock="1"/>
      </w:r>
      <w:r>
        <w:rPr>
          <w:rFonts w:ascii="Arial" w:hAnsi="Arial" w:cs="Arial"/>
          <w:b/>
          <w:bCs/>
          <w:sz w:val="20"/>
          <w:szCs w:val="20"/>
        </w:rPr>
        <w:instrText xml:space="preserve">ADDIN Mendeley Bibliography CSL_BIBLIOGRAPHY </w:instrText>
      </w:r>
      <w:r>
        <w:rPr>
          <w:rFonts w:ascii="Arial" w:hAnsi="Arial" w:cs="Arial"/>
          <w:b/>
          <w:bCs/>
          <w:sz w:val="20"/>
          <w:szCs w:val="20"/>
        </w:rPr>
        <w:fldChar w:fldCharType="separate"/>
      </w:r>
      <w:r w:rsidR="00111EA9" w:rsidRPr="00111EA9">
        <w:rPr>
          <w:rFonts w:ascii="Arial" w:eastAsia="Times New Roman" w:hAnsi="Arial" w:cs="Arial"/>
          <w:noProof/>
          <w:sz w:val="20"/>
        </w:rPr>
        <w:t xml:space="preserve">1. </w:t>
      </w:r>
      <w:r w:rsidR="00111EA9" w:rsidRPr="00111EA9">
        <w:rPr>
          <w:rFonts w:ascii="Arial" w:eastAsia="Times New Roman" w:hAnsi="Arial" w:cs="Arial"/>
          <w:noProof/>
          <w:sz w:val="20"/>
        </w:rPr>
        <w:tab/>
        <w:t xml:space="preserve">Takeuchi M, Miyoshi H, Nakashima K, Kawamoto K, Yamada K, Yanagida E, et al. </w:t>
      </w:r>
      <w:r w:rsidR="00111EA9" w:rsidRPr="00111EA9">
        <w:rPr>
          <w:rFonts w:ascii="Arial" w:eastAsia="Times New Roman" w:hAnsi="Arial" w:cs="Arial"/>
          <w:noProof/>
          <w:sz w:val="20"/>
          <w:lang w:val="en-US"/>
        </w:rPr>
        <w:t xml:space="preserve">Comprehensive immunohistochemical analysis of immune checkpoint molecules in adult T cell leukemia/lymphoma. </w:t>
      </w:r>
      <w:r w:rsidR="00111EA9" w:rsidRPr="00111EA9">
        <w:rPr>
          <w:rFonts w:ascii="Arial" w:eastAsia="Times New Roman" w:hAnsi="Arial" w:cs="Arial"/>
          <w:noProof/>
          <w:sz w:val="20"/>
        </w:rPr>
        <w:t xml:space="preserve">Ann Hematol. 2020;37(52):368–9. </w:t>
      </w:r>
    </w:p>
    <w:p w14:paraId="07A39373"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rPr>
        <w:t xml:space="preserve">2. </w:t>
      </w:r>
      <w:r w:rsidRPr="00111EA9">
        <w:rPr>
          <w:rFonts w:ascii="Arial" w:eastAsia="Times New Roman" w:hAnsi="Arial" w:cs="Arial"/>
          <w:noProof/>
          <w:sz w:val="20"/>
        </w:rPr>
        <w:tab/>
        <w:t xml:space="preserve">Nagata Y, Kontani K, Enami T, Kataoka K, Ishii R, Totoki Y, et al. </w:t>
      </w:r>
      <w:r w:rsidRPr="00111EA9">
        <w:rPr>
          <w:rFonts w:ascii="Arial" w:eastAsia="Times New Roman" w:hAnsi="Arial" w:cs="Arial"/>
          <w:noProof/>
          <w:sz w:val="20"/>
          <w:lang w:val="en-US"/>
        </w:rPr>
        <w:t xml:space="preserve">Variegated RHOA mutations in adult T-cell leukemia/lymphoma. Blood. </w:t>
      </w:r>
      <w:r w:rsidRPr="00111EA9">
        <w:rPr>
          <w:rFonts w:ascii="Arial" w:eastAsia="Times New Roman" w:hAnsi="Arial" w:cs="Arial"/>
          <w:noProof/>
          <w:sz w:val="20"/>
        </w:rPr>
        <w:t xml:space="preserve">2015/11/16. 2016 Feb;127(5):596–604. </w:t>
      </w:r>
    </w:p>
    <w:p w14:paraId="295C682A"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rPr>
        <w:t xml:space="preserve">3. </w:t>
      </w:r>
      <w:r w:rsidRPr="00111EA9">
        <w:rPr>
          <w:rFonts w:ascii="Arial" w:eastAsia="Times New Roman" w:hAnsi="Arial" w:cs="Arial"/>
          <w:noProof/>
          <w:sz w:val="20"/>
        </w:rPr>
        <w:tab/>
        <w:t xml:space="preserve">Beltran B, Quiñones P, Morales D, Cotrina E, Castillo JJ. </w:t>
      </w:r>
      <w:r w:rsidRPr="00111EA9">
        <w:rPr>
          <w:rFonts w:ascii="Arial" w:eastAsia="Times New Roman" w:hAnsi="Arial" w:cs="Arial"/>
          <w:noProof/>
          <w:sz w:val="20"/>
          <w:lang w:val="en-US"/>
        </w:rPr>
        <w:t xml:space="preserve">Different prognostic factors for survival in acute and lymphomatous adult T-cell leukemia/lymphoma. Leuk Res. 2011;35(3):334–9. </w:t>
      </w:r>
    </w:p>
    <w:p w14:paraId="5914CE60"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4. </w:t>
      </w:r>
      <w:r w:rsidRPr="00111EA9">
        <w:rPr>
          <w:rFonts w:ascii="Arial" w:eastAsia="Times New Roman" w:hAnsi="Arial" w:cs="Arial"/>
          <w:noProof/>
          <w:sz w:val="20"/>
          <w:lang w:val="en-US"/>
        </w:rPr>
        <w:tab/>
        <w:t xml:space="preserve">Oliveira PD, de Carvalho RF, Bittencourt AL. Adult T-cell leukemia/lymphoma in South and Central America and the Caribbean: systematic search and review. Vol. 28, International Journal of STD and AIDS. 2017. p. 217–28. </w:t>
      </w:r>
    </w:p>
    <w:p w14:paraId="0E3E1EC8"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5. </w:t>
      </w:r>
      <w:r w:rsidRPr="00111EA9">
        <w:rPr>
          <w:rFonts w:ascii="Arial" w:eastAsia="Times New Roman" w:hAnsi="Arial" w:cs="Arial"/>
          <w:noProof/>
          <w:sz w:val="20"/>
          <w:lang w:val="en-US"/>
        </w:rPr>
        <w:tab/>
        <w:t xml:space="preserve">Iqbal J, Wilcox R, Naushad H, Rohr J, Heavican TB, Wang C, et al. Genomic signatures in T-cell lymphoma: How can these improve precision in diagnosis and inform prognosis? Blood Rev. 2016;30(2):89–100. </w:t>
      </w:r>
    </w:p>
    <w:p w14:paraId="002F9356"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6. </w:t>
      </w:r>
      <w:r w:rsidRPr="00111EA9">
        <w:rPr>
          <w:rFonts w:ascii="Arial" w:eastAsia="Times New Roman" w:hAnsi="Arial" w:cs="Arial"/>
          <w:noProof/>
          <w:sz w:val="20"/>
          <w:lang w:val="en-US"/>
        </w:rPr>
        <w:tab/>
        <w:t xml:space="preserve">Shimoyama M, (1984–87)  members of TLSG. Diagnostic criteria and classification of clinical subtypes of adult T-cell leukaemia-lymphoma. Br J Haematol. 1991 Nov;79(3):428–37. </w:t>
      </w:r>
    </w:p>
    <w:p w14:paraId="3C33F1F4"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7. </w:t>
      </w:r>
      <w:r w:rsidRPr="00111EA9">
        <w:rPr>
          <w:rFonts w:ascii="Arial" w:eastAsia="Times New Roman" w:hAnsi="Arial" w:cs="Arial"/>
          <w:noProof/>
          <w:sz w:val="20"/>
          <w:lang w:val="en-US"/>
        </w:rPr>
        <w:tab/>
        <w:t xml:space="preserve">Magalhaes M, Oliveira PD, Bittencourt AL, Farre L. Point mutations in TP53 but not in p15Ink4b and p16Ink4a genes represent poor prognosis factors in acute adult T cell leukemia/lymphoma. Leuk Lymphoma. 2015;56(12):3434–6. </w:t>
      </w:r>
    </w:p>
    <w:p w14:paraId="2FD601D3"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8. </w:t>
      </w:r>
      <w:r w:rsidRPr="00111EA9">
        <w:rPr>
          <w:rFonts w:ascii="Arial" w:eastAsia="Times New Roman" w:hAnsi="Arial" w:cs="Arial"/>
          <w:noProof/>
          <w:sz w:val="20"/>
          <w:lang w:val="en-US"/>
        </w:rPr>
        <w:tab/>
        <w:t xml:space="preserve">Bittencourt AL, Barbosa HS, Vieira MDG, Farre L. Adult T-cell leukemia/lymphoma (ATL) presenting in the skin: clinical, histological and immunohistochemical features of 52 cases. Acta Oncol. 2009;48(4):598–604. </w:t>
      </w:r>
    </w:p>
    <w:p w14:paraId="4010B7E5"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lang w:val="en-US"/>
        </w:rPr>
        <w:t xml:space="preserve">9. </w:t>
      </w:r>
      <w:r w:rsidRPr="00111EA9">
        <w:rPr>
          <w:rFonts w:ascii="Arial" w:eastAsia="Times New Roman" w:hAnsi="Arial" w:cs="Arial"/>
          <w:noProof/>
          <w:sz w:val="20"/>
          <w:lang w:val="en-US"/>
        </w:rPr>
        <w:tab/>
        <w:t xml:space="preserve">Yamagishi M, Watanabe T. Molecular hallmarks of adult T cell leukemia. </w:t>
      </w:r>
      <w:r w:rsidRPr="00111EA9">
        <w:rPr>
          <w:rFonts w:ascii="Arial" w:eastAsia="Times New Roman" w:hAnsi="Arial" w:cs="Arial"/>
          <w:noProof/>
          <w:sz w:val="20"/>
        </w:rPr>
        <w:t xml:space="preserve">Front Microbiol. 2012;3(334):1–16. </w:t>
      </w:r>
    </w:p>
    <w:p w14:paraId="5C6BA787"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rPr>
        <w:t xml:space="preserve">10. </w:t>
      </w:r>
      <w:r w:rsidRPr="00111EA9">
        <w:rPr>
          <w:rFonts w:ascii="Arial" w:eastAsia="Times New Roman" w:hAnsi="Arial" w:cs="Arial"/>
          <w:noProof/>
          <w:sz w:val="20"/>
        </w:rPr>
        <w:tab/>
        <w:t xml:space="preserve">Rodríguez-Zúñiga MJM, Cortez-Franco F, Qujiano-Gomero E. Leucemia/linfoma de células T del adulto. Revisión de la literatura científica. Actas Dermosifiliogr. 2018;109(5):399–407. </w:t>
      </w:r>
    </w:p>
    <w:p w14:paraId="2906CFFE"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rPr>
        <w:t xml:space="preserve">11. </w:t>
      </w:r>
      <w:r w:rsidRPr="00111EA9">
        <w:rPr>
          <w:rFonts w:ascii="Arial" w:eastAsia="Times New Roman" w:hAnsi="Arial" w:cs="Arial"/>
          <w:noProof/>
          <w:sz w:val="20"/>
        </w:rPr>
        <w:tab/>
        <w:t xml:space="preserve">Bazarbachi A, Suarez F, Fields P, Hermine O. How I treat adult T-cell leukemia/lymphoma. </w:t>
      </w:r>
      <w:r w:rsidRPr="00111EA9">
        <w:rPr>
          <w:rFonts w:ascii="Arial" w:eastAsia="Times New Roman" w:hAnsi="Arial" w:cs="Arial"/>
          <w:noProof/>
          <w:sz w:val="20"/>
          <w:lang w:val="en-US"/>
        </w:rPr>
        <w:t xml:space="preserve">Blood. 2011;118(7):1736–45. </w:t>
      </w:r>
    </w:p>
    <w:p w14:paraId="056616F9"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12. </w:t>
      </w:r>
      <w:r w:rsidRPr="00111EA9">
        <w:rPr>
          <w:rFonts w:ascii="Arial" w:eastAsia="Times New Roman" w:hAnsi="Arial" w:cs="Arial"/>
          <w:noProof/>
          <w:sz w:val="20"/>
          <w:lang w:val="en-US"/>
        </w:rPr>
        <w:tab/>
        <w:t xml:space="preserve">Adkins BD, Ramos JC, Bliss-Moreau M, Gru AA. Updates in lymph node and skin pathology of adult T-cell leukemia/lymphoma, biomarkers, and beyond. Semin Diagn Pathol. 2020;37(1):1–10. </w:t>
      </w:r>
    </w:p>
    <w:p w14:paraId="388BFDD0"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13. </w:t>
      </w:r>
      <w:r w:rsidRPr="00111EA9">
        <w:rPr>
          <w:rFonts w:ascii="Arial" w:eastAsia="Times New Roman" w:hAnsi="Arial" w:cs="Arial"/>
          <w:noProof/>
          <w:sz w:val="20"/>
          <w:lang w:val="en-US"/>
        </w:rPr>
        <w:tab/>
        <w:t xml:space="preserve">Miyashiro D, Sanches JA. Cutaneous manifestations of adult T-cell leukemia/lymphoma. Vol. 37, Seminars in Diagnostic Pathology. 2020. p. 81–91. </w:t>
      </w:r>
    </w:p>
    <w:p w14:paraId="6D94E69B"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14. </w:t>
      </w:r>
      <w:r w:rsidRPr="00111EA9">
        <w:rPr>
          <w:rFonts w:ascii="Arial" w:eastAsia="Times New Roman" w:hAnsi="Arial" w:cs="Arial"/>
          <w:noProof/>
          <w:sz w:val="20"/>
          <w:lang w:val="en-US"/>
        </w:rPr>
        <w:tab/>
        <w:t xml:space="preserve">Kagdi HH, Demontis MA, Fields PA, Ramos JC, Bangham CRM, Taylor GP. Risk stratification of adult T-cell leukemia/lymphoma using immunophenotyping. Cancer Med. 2017;6(1):298–309. </w:t>
      </w:r>
    </w:p>
    <w:p w14:paraId="045FC48B"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15. </w:t>
      </w:r>
      <w:r w:rsidRPr="00111EA9">
        <w:rPr>
          <w:rFonts w:ascii="Arial" w:eastAsia="Times New Roman" w:hAnsi="Arial" w:cs="Arial"/>
          <w:noProof/>
          <w:sz w:val="20"/>
          <w:lang w:val="en-US"/>
        </w:rPr>
        <w:tab/>
        <w:t xml:space="preserve">Fukushima T, Nomura S, Shimoyama M, Shibata T, Imaizumi Y, Moriuchi Y, et al. Japan Clinical Oncology Group (JCOG) prognostic index and characterization of long-term survivors of aggressive adult T-cell leukaemia-lymphoma (JCOG0902A). Br J Haematol. 2014 Sep;166(5):739–48. </w:t>
      </w:r>
    </w:p>
    <w:p w14:paraId="6903C243"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16. </w:t>
      </w:r>
      <w:r w:rsidRPr="00111EA9">
        <w:rPr>
          <w:rFonts w:ascii="Arial" w:eastAsia="Times New Roman" w:hAnsi="Arial" w:cs="Arial"/>
          <w:noProof/>
          <w:sz w:val="20"/>
          <w:lang w:val="en-US"/>
        </w:rPr>
        <w:tab/>
        <w:t xml:space="preserve">Tagaya Y, Matsuoka M, Gallo R. 40 years of the human T-cell leukemia virus: past, present, and future. F1000Research. 2019;8:228. </w:t>
      </w:r>
    </w:p>
    <w:p w14:paraId="50408644"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17. </w:t>
      </w:r>
      <w:r w:rsidRPr="00111EA9">
        <w:rPr>
          <w:rFonts w:ascii="Arial" w:eastAsia="Times New Roman" w:hAnsi="Arial" w:cs="Arial"/>
          <w:noProof/>
          <w:sz w:val="20"/>
          <w:lang w:val="en-US"/>
        </w:rPr>
        <w:tab/>
        <w:t xml:space="preserve">Munakata W, Tobinai K. Adult T-Cell leukemia-lymphoma. Cancer Treat Res. 2019;176:145–61. </w:t>
      </w:r>
    </w:p>
    <w:p w14:paraId="566BB731"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18. </w:t>
      </w:r>
      <w:r w:rsidRPr="00111EA9">
        <w:rPr>
          <w:rFonts w:ascii="Arial" w:eastAsia="Times New Roman" w:hAnsi="Arial" w:cs="Arial"/>
          <w:noProof/>
          <w:sz w:val="20"/>
          <w:lang w:val="en-US"/>
        </w:rPr>
        <w:tab/>
        <w:t xml:space="preserve">Cook LB, Fuji S, Hermine O, Bazarbachi A, Ramos JC, Ratner L, et al. Revised adult T-cell leukemia-lymphoma international consensus meeting report. J Clin Oncol. 2019;37(8):677–87. </w:t>
      </w:r>
    </w:p>
    <w:p w14:paraId="7D5FC07E"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19. </w:t>
      </w:r>
      <w:r w:rsidRPr="00111EA9">
        <w:rPr>
          <w:rFonts w:ascii="Arial" w:eastAsia="Times New Roman" w:hAnsi="Arial" w:cs="Arial"/>
          <w:noProof/>
          <w:sz w:val="20"/>
          <w:lang w:val="en-US"/>
        </w:rPr>
        <w:tab/>
        <w:t xml:space="preserve">Tsukasaki K, Utsunomiya A, Fukuda H, Shibata T, Fukushima T, Takatsuka Y, et al. VCAP-AMP-VECP compared with biweekly CHOP for adult T-cell leukemia-lymphoma: Japan Clinical Oncology Group Study JCOG9801. J Clin Oncol. 2007 Dec;25(34):5458–64. </w:t>
      </w:r>
    </w:p>
    <w:p w14:paraId="5D689EFA"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lang w:val="en-US"/>
        </w:rPr>
        <w:t xml:space="preserve">20. </w:t>
      </w:r>
      <w:r w:rsidRPr="00111EA9">
        <w:rPr>
          <w:rFonts w:ascii="Arial" w:eastAsia="Times New Roman" w:hAnsi="Arial" w:cs="Arial"/>
          <w:noProof/>
          <w:sz w:val="20"/>
          <w:lang w:val="en-US"/>
        </w:rPr>
        <w:tab/>
        <w:t xml:space="preserve">Malpica L, Pimentel A, Reis IM, Gotuzzo E, Lekakis L, Komanduri K, et al. Epidemiology, clinical features, and outcome of HTLV-1-related ATLL in an area of prevalence in the United States. </w:t>
      </w:r>
      <w:r w:rsidRPr="00111EA9">
        <w:rPr>
          <w:rFonts w:ascii="Arial" w:eastAsia="Times New Roman" w:hAnsi="Arial" w:cs="Arial"/>
          <w:noProof/>
          <w:sz w:val="20"/>
        </w:rPr>
        <w:t xml:space="preserve">Blood Adv. 2018;2(6):607–20. </w:t>
      </w:r>
    </w:p>
    <w:p w14:paraId="11A7CABE"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rPr>
        <w:t xml:space="preserve">21. </w:t>
      </w:r>
      <w:r w:rsidRPr="00111EA9">
        <w:rPr>
          <w:rFonts w:ascii="Arial" w:eastAsia="Times New Roman" w:hAnsi="Arial" w:cs="Arial"/>
          <w:noProof/>
          <w:sz w:val="20"/>
        </w:rPr>
        <w:tab/>
        <w:t xml:space="preserve">Bazarbachi A, Plumelle Y, Carlos Ramos J, Tortevoye P, Otrock Z, Taylor G, et al. </w:t>
      </w:r>
      <w:r w:rsidRPr="00111EA9">
        <w:rPr>
          <w:rFonts w:ascii="Arial" w:eastAsia="Times New Roman" w:hAnsi="Arial" w:cs="Arial"/>
          <w:noProof/>
          <w:sz w:val="20"/>
          <w:lang w:val="en-US"/>
        </w:rPr>
        <w:t xml:space="preserve">Meta-analysis on the use of zidovudine and interferon-alfa in adult T-cell leukemia/lymphoma showing improved survival in the leukemic subtypes. J Clin Oncol. 2010 Sep;28(27):4177–83. </w:t>
      </w:r>
    </w:p>
    <w:p w14:paraId="6D19A068"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lastRenderedPageBreak/>
        <w:t xml:space="preserve">22. </w:t>
      </w:r>
      <w:r w:rsidRPr="00111EA9">
        <w:rPr>
          <w:rFonts w:ascii="Arial" w:eastAsia="Times New Roman" w:hAnsi="Arial" w:cs="Arial"/>
          <w:noProof/>
          <w:sz w:val="20"/>
          <w:lang w:val="en-US"/>
        </w:rPr>
        <w:tab/>
        <w:t xml:space="preserve">Phillips AA, Fields PA, Hermine O, Ramos JC, Beltran BE, Pereira J, et al. Mogamulizumab versus investigator’s choice of chemotherapy regimen in relapsed/ refractory adult T-cell leukemia/lymphoma. Haematologica. 2019;104(5):993–1003. </w:t>
      </w:r>
    </w:p>
    <w:p w14:paraId="0B2B9744"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23. </w:t>
      </w:r>
      <w:r w:rsidRPr="00111EA9">
        <w:rPr>
          <w:rFonts w:ascii="Arial" w:eastAsia="Times New Roman" w:hAnsi="Arial" w:cs="Arial"/>
          <w:noProof/>
          <w:sz w:val="20"/>
          <w:lang w:val="en-US"/>
        </w:rPr>
        <w:tab/>
        <w:t xml:space="preserve">Cook LB, Fuji S, Hermine O, Bazarbachi A, Ramos JC, Ratner L, et al. Revised adult T-cell leukemia-lymphoma international consensus meeting report. J Clin Oncol. 2019;37(8):677–87. </w:t>
      </w:r>
    </w:p>
    <w:p w14:paraId="2256CB52"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24. </w:t>
      </w:r>
      <w:r w:rsidRPr="00111EA9">
        <w:rPr>
          <w:rFonts w:ascii="Arial" w:eastAsia="Times New Roman" w:hAnsi="Arial" w:cs="Arial"/>
          <w:noProof/>
          <w:sz w:val="20"/>
          <w:lang w:val="en-US"/>
        </w:rPr>
        <w:tab/>
        <w:t xml:space="preserve">Gessain A, Cassar O. Epidemiological aspects and world distribution of HTLV-1 infection. Vol. 3, Frontiers in Microbiology. 2012. </w:t>
      </w:r>
    </w:p>
    <w:p w14:paraId="76C2C46E"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25. </w:t>
      </w:r>
      <w:r w:rsidRPr="00111EA9">
        <w:rPr>
          <w:rFonts w:ascii="Arial" w:eastAsia="Times New Roman" w:hAnsi="Arial" w:cs="Arial"/>
          <w:noProof/>
          <w:sz w:val="20"/>
          <w:lang w:val="en-US"/>
        </w:rPr>
        <w:tab/>
        <w:t xml:space="preserve">Beltran BE, Morales D, Quiñones P, Salas R, Castillo J. Analysis of prognostic factors in patients with adult T-cell leukemia/lymphoma. J Clin Oncol. 2009;27(15_suppl):8575. </w:t>
      </w:r>
    </w:p>
    <w:p w14:paraId="28F6A048"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26. </w:t>
      </w:r>
      <w:r w:rsidRPr="00111EA9">
        <w:rPr>
          <w:rFonts w:ascii="Arial" w:eastAsia="Times New Roman" w:hAnsi="Arial" w:cs="Arial"/>
          <w:noProof/>
          <w:sz w:val="20"/>
          <w:lang w:val="en-US"/>
        </w:rPr>
        <w:tab/>
        <w:t xml:space="preserve">Bittencourt AL, Oliveira PD, Andrade AC, Santos TC, Oliveira RF, Farré L, et al. Analysis of cutaneous lymphomas in a medical center in Bahia, Brazil. Vol. 140, American Journal of Clinical Pathology. 2013. p. 348–54. </w:t>
      </w:r>
    </w:p>
    <w:p w14:paraId="186FA86D"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lang w:val="en-US"/>
        </w:rPr>
        <w:t xml:space="preserve">27. </w:t>
      </w:r>
      <w:r w:rsidRPr="00111EA9">
        <w:rPr>
          <w:rFonts w:ascii="Arial" w:eastAsia="Times New Roman" w:hAnsi="Arial" w:cs="Arial"/>
          <w:noProof/>
          <w:sz w:val="20"/>
          <w:lang w:val="en-US"/>
        </w:rPr>
        <w:tab/>
        <w:t xml:space="preserve">Oliveira PD, Gomes Í, Souza VHG, Pires EC, Arruda GB, Bittencourt A. Adult T-cell leukemia/lymphoma treatment in Bahia, Brazil. </w:t>
      </w:r>
      <w:r w:rsidRPr="00111EA9">
        <w:rPr>
          <w:rFonts w:ascii="Arial" w:eastAsia="Times New Roman" w:hAnsi="Arial" w:cs="Arial"/>
          <w:noProof/>
          <w:sz w:val="20"/>
        </w:rPr>
        <w:t xml:space="preserve">Rev Bras Hematol Hemoter. 2017;39(1):13–9. </w:t>
      </w:r>
    </w:p>
    <w:p w14:paraId="0E9D0EE7"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rPr>
        <w:t xml:space="preserve">28. </w:t>
      </w:r>
      <w:r w:rsidRPr="00111EA9">
        <w:rPr>
          <w:rFonts w:ascii="Arial" w:eastAsia="Times New Roman" w:hAnsi="Arial" w:cs="Arial"/>
          <w:noProof/>
          <w:sz w:val="20"/>
        </w:rPr>
        <w:tab/>
        <w:t xml:space="preserve">Cabrera C ME, Labra G S, Meneses C P, Matutes E, Cartier R L, Ford AM, et al. </w:t>
      </w:r>
      <w:r w:rsidRPr="00111EA9">
        <w:rPr>
          <w:rFonts w:ascii="Arial" w:eastAsia="Times New Roman" w:hAnsi="Arial" w:cs="Arial"/>
          <w:noProof/>
          <w:sz w:val="20"/>
          <w:lang w:val="en-US"/>
        </w:rPr>
        <w:t xml:space="preserve">Adult T cell leukemia lymphoma in Chile. A clinico pathological and molecular study of 26 patients. Rev Med Chil. 1999;127(8):935–44. </w:t>
      </w:r>
    </w:p>
    <w:p w14:paraId="3A517B53"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29. </w:t>
      </w:r>
      <w:r w:rsidRPr="00111EA9">
        <w:rPr>
          <w:rFonts w:ascii="Arial" w:eastAsia="Times New Roman" w:hAnsi="Arial" w:cs="Arial"/>
          <w:noProof/>
          <w:sz w:val="20"/>
          <w:lang w:val="en-US"/>
        </w:rPr>
        <w:tab/>
        <w:t xml:space="preserve">Zell M, Assal A, Derman O, Kornblum N, Battini R, Wang Y, et al. Adult T-Cell leukemia/lymphoma in the Caribbean cohort is a distinct clinical entity with dismal response to conventional chemotherapy. Oncotarget. 2016;7(32):51981–90. </w:t>
      </w:r>
    </w:p>
    <w:p w14:paraId="62F4FCF6"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lang w:val="en-US"/>
        </w:rPr>
        <w:t xml:space="preserve">30. </w:t>
      </w:r>
      <w:r w:rsidRPr="00111EA9">
        <w:rPr>
          <w:rFonts w:ascii="Arial" w:eastAsia="Times New Roman" w:hAnsi="Arial" w:cs="Arial"/>
          <w:noProof/>
          <w:sz w:val="20"/>
          <w:lang w:val="en-US"/>
        </w:rPr>
        <w:tab/>
        <w:t xml:space="preserve">Marin O, Hasui K, Remondegui C, Sato E, Aye MM, Takenouchi N, et al. Adult T-cell leukemia/lymphoma in Jujuy, north-west Argentina. Pathol Int. 2002;52(5–6):348–57. </w:t>
      </w:r>
    </w:p>
    <w:p w14:paraId="6B995317"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rPr>
      </w:pPr>
      <w:r w:rsidRPr="00111EA9">
        <w:rPr>
          <w:rFonts w:ascii="Arial" w:eastAsia="Times New Roman" w:hAnsi="Arial" w:cs="Arial"/>
          <w:noProof/>
          <w:sz w:val="20"/>
          <w:lang w:val="en-US"/>
        </w:rPr>
        <w:t xml:space="preserve">31. </w:t>
      </w:r>
      <w:r w:rsidRPr="00111EA9">
        <w:rPr>
          <w:rFonts w:ascii="Arial" w:eastAsia="Times New Roman" w:hAnsi="Arial" w:cs="Arial"/>
          <w:noProof/>
          <w:sz w:val="20"/>
          <w:lang w:val="en-US"/>
        </w:rPr>
        <w:tab/>
        <w:t xml:space="preserve">Prates V, Cobos M, Bouzas B, Napal J, Bordone J, Milone J. The first report of familial adult T-Cell leukemia/lymphoma in Argentina. </w:t>
      </w:r>
      <w:r w:rsidRPr="00111EA9">
        <w:rPr>
          <w:rFonts w:ascii="Arial" w:eastAsia="Times New Roman" w:hAnsi="Arial" w:cs="Arial"/>
          <w:noProof/>
          <w:sz w:val="20"/>
        </w:rPr>
        <w:t xml:space="preserve">Leuk Lymphoma. 2000;37(1–2):225–7. </w:t>
      </w:r>
    </w:p>
    <w:p w14:paraId="74157E81" w14:textId="77777777" w:rsidR="00111EA9" w:rsidRPr="00111EA9" w:rsidRDefault="00111EA9" w:rsidP="00717582">
      <w:pPr>
        <w:widowControl w:val="0"/>
        <w:autoSpaceDE w:val="0"/>
        <w:autoSpaceDN w:val="0"/>
        <w:adjustRightInd w:val="0"/>
        <w:ind w:left="640" w:hanging="640"/>
        <w:jc w:val="both"/>
        <w:rPr>
          <w:rFonts w:ascii="Arial" w:eastAsia="Times New Roman" w:hAnsi="Arial" w:cs="Arial"/>
          <w:noProof/>
          <w:sz w:val="20"/>
          <w:lang w:val="en-US"/>
        </w:rPr>
      </w:pPr>
      <w:r w:rsidRPr="00111EA9">
        <w:rPr>
          <w:rFonts w:ascii="Arial" w:eastAsia="Times New Roman" w:hAnsi="Arial" w:cs="Arial"/>
          <w:noProof/>
          <w:sz w:val="20"/>
        </w:rPr>
        <w:t xml:space="preserve">32. </w:t>
      </w:r>
      <w:r w:rsidRPr="00111EA9">
        <w:rPr>
          <w:rFonts w:ascii="Arial" w:eastAsia="Times New Roman" w:hAnsi="Arial" w:cs="Arial"/>
          <w:noProof/>
          <w:sz w:val="20"/>
        </w:rPr>
        <w:tab/>
        <w:t xml:space="preserve">Medina EA, Orduz R, Morales OL, Martínez Ó, Baldión M, Isaza MA. </w:t>
      </w:r>
      <w:r w:rsidRPr="00111EA9">
        <w:rPr>
          <w:rFonts w:ascii="Arial" w:eastAsia="Times New Roman" w:hAnsi="Arial" w:cs="Arial"/>
          <w:noProof/>
          <w:sz w:val="20"/>
          <w:lang w:val="en-US"/>
        </w:rPr>
        <w:t xml:space="preserve">Adult T-cell leukemia/lymphoma in HTLV-1 infected patients: Report of two cases in Colombia. Biomedica. 2013;33(4):519–25. </w:t>
      </w:r>
    </w:p>
    <w:p w14:paraId="77A32374" w14:textId="77777777" w:rsidR="00111EA9" w:rsidRPr="00111EA9" w:rsidRDefault="00111EA9" w:rsidP="00717582">
      <w:pPr>
        <w:widowControl w:val="0"/>
        <w:autoSpaceDE w:val="0"/>
        <w:autoSpaceDN w:val="0"/>
        <w:adjustRightInd w:val="0"/>
        <w:ind w:left="640" w:hanging="640"/>
        <w:jc w:val="both"/>
        <w:rPr>
          <w:rFonts w:ascii="Arial" w:hAnsi="Arial" w:cs="Arial"/>
          <w:noProof/>
          <w:sz w:val="20"/>
        </w:rPr>
      </w:pPr>
      <w:r w:rsidRPr="00111EA9">
        <w:rPr>
          <w:rFonts w:ascii="Arial" w:eastAsia="Times New Roman" w:hAnsi="Arial" w:cs="Arial"/>
          <w:noProof/>
          <w:sz w:val="20"/>
          <w:lang w:val="en-US"/>
        </w:rPr>
        <w:t xml:space="preserve">33. </w:t>
      </w:r>
      <w:r w:rsidRPr="00111EA9">
        <w:rPr>
          <w:rFonts w:ascii="Arial" w:eastAsia="Times New Roman" w:hAnsi="Arial" w:cs="Arial"/>
          <w:noProof/>
          <w:sz w:val="20"/>
          <w:lang w:val="en-US"/>
        </w:rPr>
        <w:tab/>
        <w:t xml:space="preserve">Tsukasaki K, Hermine O, Bazarbachi A, Ratner L, Ramos JC, Harrington W, et al. Definition, prognostic factors, treatment, and response criteria of adult T-cell leukemia-lymphoma: A proposal from an international consensus meeting. </w:t>
      </w:r>
      <w:r w:rsidRPr="00111EA9">
        <w:rPr>
          <w:rFonts w:ascii="Arial" w:eastAsia="Times New Roman" w:hAnsi="Arial" w:cs="Arial"/>
          <w:noProof/>
          <w:sz w:val="20"/>
        </w:rPr>
        <w:t xml:space="preserve">J Clin Oncol. 2009;27(3):453–9. </w:t>
      </w:r>
    </w:p>
    <w:p w14:paraId="79E67605" w14:textId="5B30D164" w:rsidR="00D63686" w:rsidRPr="00A07833" w:rsidRDefault="00D63686" w:rsidP="00717582">
      <w:pPr>
        <w:widowControl w:val="0"/>
        <w:autoSpaceDE w:val="0"/>
        <w:autoSpaceDN w:val="0"/>
        <w:adjustRightInd w:val="0"/>
        <w:ind w:left="640" w:hanging="640"/>
        <w:jc w:val="both"/>
        <w:rPr>
          <w:rFonts w:ascii="Arial" w:hAnsi="Arial" w:cs="Arial"/>
          <w:b/>
          <w:bCs/>
          <w:sz w:val="20"/>
          <w:szCs w:val="20"/>
          <w:lang w:val="en-US"/>
        </w:rPr>
      </w:pPr>
      <w:r>
        <w:rPr>
          <w:rFonts w:ascii="Arial" w:hAnsi="Arial" w:cs="Arial"/>
          <w:b/>
          <w:bCs/>
          <w:sz w:val="20"/>
          <w:szCs w:val="20"/>
        </w:rPr>
        <w:fldChar w:fldCharType="end"/>
      </w:r>
      <w:bookmarkEnd w:id="0"/>
    </w:p>
    <w:p w14:paraId="194AA404" w14:textId="77777777" w:rsidR="00D63686" w:rsidRDefault="00D63686" w:rsidP="00BD6F4C">
      <w:pPr>
        <w:jc w:val="both"/>
        <w:rPr>
          <w:rFonts w:ascii="Arial" w:hAnsi="Arial" w:cs="Arial"/>
          <w:sz w:val="20"/>
          <w:szCs w:val="20"/>
          <w:lang w:val="en-US"/>
        </w:rPr>
      </w:pPr>
    </w:p>
    <w:p w14:paraId="5F82ED37" w14:textId="77777777" w:rsidR="00D63686" w:rsidRDefault="00D63686" w:rsidP="00BD6F4C">
      <w:pPr>
        <w:jc w:val="both"/>
        <w:rPr>
          <w:rFonts w:ascii="Arial" w:hAnsi="Arial" w:cs="Arial"/>
          <w:sz w:val="20"/>
          <w:szCs w:val="20"/>
          <w:lang w:val="en-US"/>
        </w:rPr>
      </w:pPr>
    </w:p>
    <w:p w14:paraId="3CD346ED" w14:textId="77777777" w:rsidR="00D63686" w:rsidRDefault="00D63686" w:rsidP="00BD6F4C">
      <w:pPr>
        <w:jc w:val="both"/>
        <w:rPr>
          <w:rFonts w:ascii="Arial" w:hAnsi="Arial" w:cs="Arial"/>
          <w:sz w:val="20"/>
          <w:szCs w:val="20"/>
          <w:lang w:val="en-US"/>
        </w:rPr>
      </w:pPr>
    </w:p>
    <w:p w14:paraId="1054B3D0" w14:textId="77777777" w:rsidR="00D63686" w:rsidRDefault="00D63686" w:rsidP="00BD6F4C">
      <w:pPr>
        <w:jc w:val="both"/>
        <w:rPr>
          <w:rFonts w:ascii="Arial" w:hAnsi="Arial" w:cs="Arial"/>
          <w:sz w:val="20"/>
          <w:szCs w:val="20"/>
          <w:lang w:val="en-US"/>
        </w:rPr>
      </w:pPr>
    </w:p>
    <w:p w14:paraId="1C82F181" w14:textId="77777777" w:rsidR="00D63686" w:rsidRDefault="00D63686" w:rsidP="00BD6F4C">
      <w:pPr>
        <w:jc w:val="both"/>
        <w:rPr>
          <w:rFonts w:ascii="Arial" w:hAnsi="Arial" w:cs="Arial"/>
          <w:sz w:val="20"/>
          <w:szCs w:val="20"/>
          <w:lang w:val="en-US"/>
        </w:rPr>
      </w:pPr>
    </w:p>
    <w:p w14:paraId="6677AB84" w14:textId="77777777" w:rsidR="00D63686" w:rsidRDefault="00D63686" w:rsidP="00862309">
      <w:pPr>
        <w:jc w:val="both"/>
        <w:rPr>
          <w:rFonts w:ascii="Arial" w:hAnsi="Arial" w:cs="Arial"/>
          <w:sz w:val="20"/>
          <w:szCs w:val="20"/>
          <w:lang w:val="en-US"/>
        </w:rPr>
      </w:pPr>
    </w:p>
    <w:p w14:paraId="17FBD600" w14:textId="77777777" w:rsidR="00D63686" w:rsidRDefault="00D63686" w:rsidP="00862309">
      <w:pPr>
        <w:jc w:val="both"/>
        <w:rPr>
          <w:rFonts w:ascii="Arial" w:hAnsi="Arial" w:cs="Arial"/>
          <w:sz w:val="20"/>
          <w:szCs w:val="20"/>
          <w:lang w:val="en-US"/>
        </w:rPr>
      </w:pPr>
    </w:p>
    <w:p w14:paraId="334D78D2" w14:textId="77777777" w:rsidR="00D63686" w:rsidRDefault="00D63686" w:rsidP="00862309">
      <w:pPr>
        <w:jc w:val="both"/>
        <w:rPr>
          <w:rFonts w:ascii="Arial" w:hAnsi="Arial" w:cs="Arial"/>
          <w:sz w:val="20"/>
          <w:szCs w:val="20"/>
          <w:lang w:val="en-US"/>
        </w:rPr>
      </w:pPr>
    </w:p>
    <w:p w14:paraId="3E20DA52" w14:textId="77777777" w:rsidR="00D63686" w:rsidRDefault="00D63686" w:rsidP="00862309">
      <w:pPr>
        <w:jc w:val="both"/>
        <w:rPr>
          <w:rFonts w:ascii="Arial" w:hAnsi="Arial" w:cs="Arial"/>
          <w:sz w:val="20"/>
          <w:szCs w:val="20"/>
          <w:lang w:val="en-US"/>
        </w:rPr>
      </w:pPr>
    </w:p>
    <w:p w14:paraId="5A1C76DA" w14:textId="77777777" w:rsidR="00D63686" w:rsidRDefault="00D63686" w:rsidP="00D63686">
      <w:pPr>
        <w:jc w:val="both"/>
        <w:rPr>
          <w:rFonts w:ascii="Arial" w:hAnsi="Arial" w:cs="Arial"/>
          <w:sz w:val="20"/>
          <w:szCs w:val="20"/>
          <w:lang w:val="en-US"/>
        </w:rPr>
      </w:pPr>
    </w:p>
    <w:p w14:paraId="5CC07D3C" w14:textId="77777777" w:rsidR="006961D8" w:rsidRDefault="006961D8" w:rsidP="00D63686">
      <w:pPr>
        <w:jc w:val="both"/>
        <w:rPr>
          <w:rFonts w:ascii="Arial" w:hAnsi="Arial" w:cs="Arial"/>
          <w:sz w:val="20"/>
          <w:szCs w:val="20"/>
          <w:lang w:val="en-US"/>
        </w:rPr>
      </w:pPr>
    </w:p>
    <w:p w14:paraId="5F915D1B" w14:textId="77777777" w:rsidR="006961D8" w:rsidRDefault="006961D8" w:rsidP="00D63686">
      <w:pPr>
        <w:jc w:val="both"/>
        <w:rPr>
          <w:rFonts w:ascii="Arial" w:hAnsi="Arial" w:cs="Arial"/>
          <w:sz w:val="20"/>
          <w:szCs w:val="20"/>
          <w:lang w:val="en-US"/>
        </w:rPr>
      </w:pPr>
    </w:p>
    <w:p w14:paraId="66ADCDBE" w14:textId="77777777" w:rsidR="006961D8" w:rsidRDefault="006961D8" w:rsidP="00D63686">
      <w:pPr>
        <w:jc w:val="both"/>
        <w:rPr>
          <w:rFonts w:ascii="Arial" w:hAnsi="Arial" w:cs="Arial"/>
          <w:sz w:val="20"/>
          <w:szCs w:val="20"/>
          <w:lang w:val="en-US"/>
        </w:rPr>
      </w:pPr>
    </w:p>
    <w:p w14:paraId="34BAD24F" w14:textId="77777777" w:rsidR="006961D8" w:rsidRDefault="006961D8" w:rsidP="00D63686">
      <w:pPr>
        <w:jc w:val="both"/>
        <w:rPr>
          <w:rFonts w:ascii="Arial" w:hAnsi="Arial" w:cs="Arial"/>
          <w:sz w:val="20"/>
          <w:szCs w:val="20"/>
          <w:lang w:val="en-US"/>
        </w:rPr>
      </w:pPr>
    </w:p>
    <w:p w14:paraId="7E22E3D5" w14:textId="77777777" w:rsidR="006961D8" w:rsidRDefault="006961D8" w:rsidP="00D63686">
      <w:pPr>
        <w:jc w:val="both"/>
        <w:rPr>
          <w:rFonts w:ascii="Arial" w:hAnsi="Arial" w:cs="Arial"/>
          <w:sz w:val="20"/>
          <w:szCs w:val="20"/>
          <w:lang w:val="en-US"/>
        </w:rPr>
      </w:pPr>
    </w:p>
    <w:p w14:paraId="11087B77" w14:textId="77777777" w:rsidR="00D63686" w:rsidRDefault="00D63686" w:rsidP="00D63686">
      <w:pPr>
        <w:jc w:val="both"/>
        <w:rPr>
          <w:rFonts w:ascii="Arial" w:hAnsi="Arial" w:cs="Arial"/>
          <w:sz w:val="20"/>
          <w:szCs w:val="20"/>
          <w:lang w:val="en-US"/>
        </w:rPr>
      </w:pPr>
    </w:p>
    <w:p w14:paraId="0D7537C9" w14:textId="77777777" w:rsidR="00D63686" w:rsidRDefault="00D63686" w:rsidP="00D63686">
      <w:pPr>
        <w:jc w:val="both"/>
        <w:rPr>
          <w:rFonts w:ascii="Arial" w:hAnsi="Arial" w:cs="Arial"/>
          <w:sz w:val="20"/>
          <w:szCs w:val="20"/>
          <w:lang w:val="en-US"/>
        </w:rPr>
      </w:pPr>
    </w:p>
    <w:p w14:paraId="04847DB8" w14:textId="77777777" w:rsidR="00BD6F4C" w:rsidRDefault="00BD6F4C" w:rsidP="00D63686">
      <w:pPr>
        <w:jc w:val="both"/>
        <w:rPr>
          <w:rFonts w:ascii="Arial" w:hAnsi="Arial" w:cs="Arial"/>
          <w:sz w:val="20"/>
          <w:szCs w:val="20"/>
          <w:lang w:val="en-US"/>
        </w:rPr>
      </w:pPr>
    </w:p>
    <w:p w14:paraId="69D7A86D" w14:textId="77777777" w:rsidR="00BD6F4C" w:rsidRDefault="00BD6F4C" w:rsidP="00D63686">
      <w:pPr>
        <w:jc w:val="both"/>
        <w:rPr>
          <w:rFonts w:ascii="Arial" w:hAnsi="Arial" w:cs="Arial"/>
          <w:sz w:val="20"/>
          <w:szCs w:val="20"/>
          <w:lang w:val="en-US"/>
        </w:rPr>
      </w:pPr>
    </w:p>
    <w:p w14:paraId="11653A5D" w14:textId="77777777" w:rsidR="00BD6F4C" w:rsidRDefault="00BD6F4C" w:rsidP="00D63686">
      <w:pPr>
        <w:jc w:val="both"/>
        <w:rPr>
          <w:rFonts w:ascii="Arial" w:hAnsi="Arial" w:cs="Arial"/>
          <w:sz w:val="20"/>
          <w:szCs w:val="20"/>
          <w:lang w:val="en-US"/>
        </w:rPr>
      </w:pPr>
    </w:p>
    <w:p w14:paraId="3D23435A" w14:textId="77777777" w:rsidR="00826B40" w:rsidRDefault="00826B40" w:rsidP="00826B40">
      <w:pPr>
        <w:jc w:val="both"/>
        <w:rPr>
          <w:rFonts w:ascii="Arial" w:hAnsi="Arial" w:cs="Arial"/>
          <w:sz w:val="20"/>
          <w:szCs w:val="20"/>
        </w:rPr>
      </w:pPr>
    </w:p>
    <w:p w14:paraId="0CDBA106" w14:textId="77777777" w:rsidR="00826B40" w:rsidRDefault="00826B40" w:rsidP="00826B40">
      <w:pPr>
        <w:jc w:val="both"/>
        <w:rPr>
          <w:rFonts w:ascii="Arial" w:hAnsi="Arial" w:cs="Arial"/>
          <w:sz w:val="20"/>
          <w:szCs w:val="20"/>
        </w:rPr>
      </w:pPr>
    </w:p>
    <w:p w14:paraId="60BD280A" w14:textId="77777777" w:rsidR="00826B40" w:rsidRDefault="00826B40" w:rsidP="00826B40">
      <w:pPr>
        <w:jc w:val="both"/>
        <w:rPr>
          <w:rFonts w:ascii="Arial" w:hAnsi="Arial" w:cs="Arial"/>
          <w:sz w:val="20"/>
          <w:szCs w:val="20"/>
        </w:rPr>
      </w:pPr>
    </w:p>
    <w:p w14:paraId="53B5DEB3" w14:textId="77777777" w:rsidR="00826B40" w:rsidRDefault="00826B40" w:rsidP="00826B40">
      <w:pPr>
        <w:jc w:val="both"/>
        <w:rPr>
          <w:rFonts w:ascii="Arial" w:hAnsi="Arial" w:cs="Arial"/>
          <w:sz w:val="20"/>
          <w:szCs w:val="20"/>
        </w:rPr>
      </w:pPr>
    </w:p>
    <w:p w14:paraId="032D556B" w14:textId="77777777" w:rsidR="00826B40" w:rsidRDefault="00826B40" w:rsidP="00826B40">
      <w:pPr>
        <w:jc w:val="both"/>
        <w:rPr>
          <w:rFonts w:ascii="Arial" w:hAnsi="Arial" w:cs="Arial"/>
          <w:sz w:val="20"/>
          <w:szCs w:val="20"/>
        </w:rPr>
      </w:pPr>
    </w:p>
    <w:p w14:paraId="7D329BEB" w14:textId="77777777" w:rsidR="00826B40" w:rsidRDefault="00826B40" w:rsidP="00826B40">
      <w:pPr>
        <w:jc w:val="both"/>
        <w:rPr>
          <w:rFonts w:ascii="Arial" w:hAnsi="Arial" w:cs="Arial"/>
          <w:sz w:val="20"/>
          <w:szCs w:val="20"/>
        </w:rPr>
      </w:pPr>
    </w:p>
    <w:p w14:paraId="19949377" w14:textId="77777777" w:rsidR="00826B40" w:rsidRDefault="00826B40" w:rsidP="00826B40">
      <w:pPr>
        <w:jc w:val="both"/>
        <w:rPr>
          <w:rFonts w:ascii="Arial" w:hAnsi="Arial" w:cs="Arial"/>
          <w:sz w:val="20"/>
          <w:szCs w:val="20"/>
        </w:rPr>
      </w:pPr>
    </w:p>
    <w:p w14:paraId="73EA07D5" w14:textId="77777777" w:rsidR="00826B40" w:rsidRDefault="00826B40" w:rsidP="00826B40">
      <w:pPr>
        <w:jc w:val="both"/>
        <w:rPr>
          <w:rFonts w:ascii="Arial" w:hAnsi="Arial" w:cs="Arial"/>
          <w:sz w:val="20"/>
          <w:szCs w:val="20"/>
        </w:rPr>
      </w:pPr>
    </w:p>
    <w:p w14:paraId="11C14C90" w14:textId="77777777" w:rsidR="005D65B7" w:rsidRPr="008B513E" w:rsidRDefault="005D65B7" w:rsidP="004216BD">
      <w:pPr>
        <w:tabs>
          <w:tab w:val="left" w:pos="1787"/>
        </w:tabs>
        <w:rPr>
          <w:rFonts w:ascii="Arial" w:hAnsi="Arial" w:cs="Arial"/>
          <w:b/>
          <w:sz w:val="20"/>
          <w:szCs w:val="20"/>
        </w:rPr>
      </w:pPr>
    </w:p>
    <w:p w14:paraId="6800C2EE" w14:textId="48143EBA" w:rsidR="005D65B7" w:rsidRDefault="008B513E" w:rsidP="004216BD">
      <w:pPr>
        <w:tabs>
          <w:tab w:val="left" w:pos="1787"/>
        </w:tabs>
        <w:rPr>
          <w:rFonts w:ascii="Arial" w:hAnsi="Arial" w:cs="Arial"/>
          <w:b/>
          <w:sz w:val="20"/>
          <w:szCs w:val="20"/>
        </w:rPr>
      </w:pPr>
      <w:r w:rsidRPr="008B513E">
        <w:rPr>
          <w:rFonts w:ascii="Arial" w:hAnsi="Arial" w:cs="Arial"/>
          <w:b/>
          <w:sz w:val="20"/>
          <w:szCs w:val="20"/>
        </w:rPr>
        <w:t>CAPITULO V. CRONOGRAMA</w:t>
      </w:r>
    </w:p>
    <w:p w14:paraId="3FBAD1B4" w14:textId="77777777" w:rsidR="008B513E" w:rsidRDefault="008B513E" w:rsidP="004216BD">
      <w:pPr>
        <w:tabs>
          <w:tab w:val="left" w:pos="1787"/>
        </w:tabs>
        <w:rPr>
          <w:rFonts w:ascii="Arial" w:hAnsi="Arial" w:cs="Arial"/>
          <w:b/>
          <w:sz w:val="20"/>
          <w:szCs w:val="20"/>
        </w:rPr>
      </w:pPr>
    </w:p>
    <w:p w14:paraId="7D0BB00B" w14:textId="77777777" w:rsidR="008B513E" w:rsidRDefault="008B513E" w:rsidP="004216BD">
      <w:pPr>
        <w:tabs>
          <w:tab w:val="left" w:pos="1787"/>
        </w:tabs>
        <w:rPr>
          <w:rFonts w:ascii="Arial" w:hAnsi="Arial" w:cs="Arial"/>
          <w:b/>
          <w:sz w:val="20"/>
          <w:szCs w:val="20"/>
        </w:rPr>
      </w:pPr>
    </w:p>
    <w:tbl>
      <w:tblPr>
        <w:tblStyle w:val="Tablaconcuadrcula"/>
        <w:tblW w:w="9351" w:type="dxa"/>
        <w:tblLook w:val="04A0" w:firstRow="1" w:lastRow="0" w:firstColumn="1" w:lastColumn="0" w:noHBand="0" w:noVBand="1"/>
      </w:tblPr>
      <w:tblGrid>
        <w:gridCol w:w="1551"/>
        <w:gridCol w:w="724"/>
        <w:gridCol w:w="709"/>
        <w:gridCol w:w="679"/>
        <w:gridCol w:w="1006"/>
        <w:gridCol w:w="1128"/>
        <w:gridCol w:w="947"/>
        <w:gridCol w:w="1183"/>
        <w:gridCol w:w="1424"/>
      </w:tblGrid>
      <w:tr w:rsidR="00BD6F4C" w:rsidRPr="008B513E" w14:paraId="28453C9D" w14:textId="189F08E2" w:rsidTr="00BD6F4C">
        <w:tc>
          <w:tcPr>
            <w:tcW w:w="1550" w:type="dxa"/>
          </w:tcPr>
          <w:p w14:paraId="1BDB820F" w14:textId="77777777" w:rsidR="00914D52" w:rsidRPr="008B513E" w:rsidRDefault="00914D52" w:rsidP="004216BD">
            <w:pPr>
              <w:tabs>
                <w:tab w:val="left" w:pos="1787"/>
              </w:tabs>
              <w:rPr>
                <w:rFonts w:ascii="Arial" w:hAnsi="Arial" w:cs="Arial"/>
                <w:sz w:val="20"/>
                <w:szCs w:val="20"/>
              </w:rPr>
            </w:pPr>
          </w:p>
          <w:p w14:paraId="5224BB89" w14:textId="5885B0C6"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Actividades</w:t>
            </w:r>
          </w:p>
          <w:p w14:paraId="57159D58" w14:textId="77777777" w:rsidR="00914D52" w:rsidRPr="008B513E" w:rsidRDefault="00914D52" w:rsidP="004216BD">
            <w:pPr>
              <w:tabs>
                <w:tab w:val="left" w:pos="1787"/>
              </w:tabs>
              <w:rPr>
                <w:rFonts w:ascii="Arial" w:hAnsi="Arial" w:cs="Arial"/>
                <w:sz w:val="20"/>
                <w:szCs w:val="20"/>
              </w:rPr>
            </w:pPr>
          </w:p>
        </w:tc>
        <w:tc>
          <w:tcPr>
            <w:tcW w:w="731" w:type="dxa"/>
          </w:tcPr>
          <w:p w14:paraId="42B54247" w14:textId="77777777" w:rsidR="00914D52" w:rsidRDefault="00914D52" w:rsidP="008B513E">
            <w:pPr>
              <w:tabs>
                <w:tab w:val="left" w:pos="1787"/>
              </w:tabs>
              <w:jc w:val="center"/>
              <w:rPr>
                <w:rFonts w:ascii="Arial" w:hAnsi="Arial" w:cs="Arial"/>
                <w:sz w:val="20"/>
                <w:szCs w:val="20"/>
              </w:rPr>
            </w:pPr>
          </w:p>
          <w:p w14:paraId="734224F0" w14:textId="1E9F8EC7" w:rsidR="00914D52" w:rsidRPr="008B513E" w:rsidRDefault="00914D52" w:rsidP="008B513E">
            <w:pPr>
              <w:tabs>
                <w:tab w:val="left" w:pos="1787"/>
              </w:tabs>
              <w:jc w:val="center"/>
              <w:rPr>
                <w:rFonts w:ascii="Arial" w:hAnsi="Arial" w:cs="Arial"/>
                <w:sz w:val="20"/>
                <w:szCs w:val="20"/>
              </w:rPr>
            </w:pPr>
            <w:r>
              <w:rPr>
                <w:rFonts w:ascii="Arial" w:hAnsi="Arial" w:cs="Arial"/>
                <w:sz w:val="20"/>
                <w:szCs w:val="20"/>
              </w:rPr>
              <w:t>Mayo 2020</w:t>
            </w:r>
          </w:p>
        </w:tc>
        <w:tc>
          <w:tcPr>
            <w:tcW w:w="715" w:type="dxa"/>
          </w:tcPr>
          <w:p w14:paraId="4C4ACEF6" w14:textId="77777777" w:rsidR="00914D52" w:rsidRDefault="00914D52" w:rsidP="008B513E">
            <w:pPr>
              <w:tabs>
                <w:tab w:val="left" w:pos="1787"/>
              </w:tabs>
              <w:jc w:val="center"/>
              <w:rPr>
                <w:rFonts w:ascii="Arial" w:hAnsi="Arial" w:cs="Arial"/>
                <w:sz w:val="20"/>
                <w:szCs w:val="20"/>
              </w:rPr>
            </w:pPr>
          </w:p>
          <w:p w14:paraId="4B900193" w14:textId="141233BF" w:rsidR="00914D52" w:rsidRPr="008B513E" w:rsidRDefault="00914D52" w:rsidP="008B513E">
            <w:pPr>
              <w:tabs>
                <w:tab w:val="left" w:pos="1787"/>
              </w:tabs>
              <w:jc w:val="center"/>
              <w:rPr>
                <w:rFonts w:ascii="Arial" w:hAnsi="Arial" w:cs="Arial"/>
                <w:sz w:val="20"/>
                <w:szCs w:val="20"/>
              </w:rPr>
            </w:pPr>
            <w:r>
              <w:rPr>
                <w:rFonts w:ascii="Arial" w:hAnsi="Arial" w:cs="Arial"/>
                <w:sz w:val="20"/>
                <w:szCs w:val="20"/>
              </w:rPr>
              <w:t>Junio 2020</w:t>
            </w:r>
          </w:p>
        </w:tc>
        <w:tc>
          <w:tcPr>
            <w:tcW w:w="686" w:type="dxa"/>
          </w:tcPr>
          <w:p w14:paraId="3AD48B4C" w14:textId="511ED792" w:rsidR="00914D52" w:rsidRDefault="00914D52" w:rsidP="008B513E">
            <w:pPr>
              <w:tabs>
                <w:tab w:val="left" w:pos="1787"/>
              </w:tabs>
              <w:jc w:val="center"/>
              <w:rPr>
                <w:rFonts w:ascii="Arial" w:hAnsi="Arial" w:cs="Arial"/>
                <w:sz w:val="20"/>
                <w:szCs w:val="20"/>
              </w:rPr>
            </w:pPr>
          </w:p>
          <w:p w14:paraId="6E993DF0" w14:textId="5B832492" w:rsidR="00914D52" w:rsidRPr="008B513E" w:rsidRDefault="00914D52" w:rsidP="008B513E">
            <w:pPr>
              <w:tabs>
                <w:tab w:val="left" w:pos="1787"/>
              </w:tabs>
              <w:jc w:val="center"/>
              <w:rPr>
                <w:rFonts w:ascii="Arial" w:hAnsi="Arial" w:cs="Arial"/>
                <w:sz w:val="20"/>
                <w:szCs w:val="20"/>
              </w:rPr>
            </w:pPr>
            <w:r>
              <w:rPr>
                <w:rFonts w:ascii="Arial" w:hAnsi="Arial" w:cs="Arial"/>
                <w:sz w:val="20"/>
                <w:szCs w:val="20"/>
              </w:rPr>
              <w:t>Julio 2020</w:t>
            </w:r>
          </w:p>
        </w:tc>
        <w:tc>
          <w:tcPr>
            <w:tcW w:w="861" w:type="dxa"/>
          </w:tcPr>
          <w:p w14:paraId="0B6E6585" w14:textId="77777777" w:rsidR="00914D52" w:rsidRDefault="00914D52" w:rsidP="008B513E">
            <w:pPr>
              <w:tabs>
                <w:tab w:val="left" w:pos="1787"/>
              </w:tabs>
              <w:jc w:val="center"/>
              <w:rPr>
                <w:rFonts w:ascii="Arial" w:hAnsi="Arial" w:cs="Arial"/>
                <w:sz w:val="20"/>
                <w:szCs w:val="20"/>
              </w:rPr>
            </w:pPr>
          </w:p>
          <w:p w14:paraId="07EA22B7" w14:textId="52F0FFA7" w:rsidR="00914D52" w:rsidRPr="008B513E" w:rsidRDefault="00914D52" w:rsidP="008B513E">
            <w:pPr>
              <w:tabs>
                <w:tab w:val="left" w:pos="1787"/>
              </w:tabs>
              <w:jc w:val="center"/>
              <w:rPr>
                <w:rFonts w:ascii="Arial" w:hAnsi="Arial" w:cs="Arial"/>
                <w:sz w:val="20"/>
                <w:szCs w:val="20"/>
              </w:rPr>
            </w:pPr>
            <w:r>
              <w:rPr>
                <w:rFonts w:ascii="Arial" w:hAnsi="Arial" w:cs="Arial"/>
                <w:sz w:val="20"/>
                <w:szCs w:val="20"/>
              </w:rPr>
              <w:t>Agosto 2020</w:t>
            </w:r>
          </w:p>
        </w:tc>
        <w:tc>
          <w:tcPr>
            <w:tcW w:w="1128" w:type="dxa"/>
          </w:tcPr>
          <w:p w14:paraId="214C100D" w14:textId="77777777" w:rsidR="00914D52" w:rsidRDefault="00914D52" w:rsidP="004A59CB">
            <w:pPr>
              <w:tabs>
                <w:tab w:val="left" w:pos="1787"/>
              </w:tabs>
              <w:jc w:val="center"/>
              <w:rPr>
                <w:rFonts w:ascii="Arial" w:hAnsi="Arial" w:cs="Arial"/>
                <w:sz w:val="20"/>
                <w:szCs w:val="20"/>
              </w:rPr>
            </w:pPr>
          </w:p>
          <w:p w14:paraId="3C428A24" w14:textId="65A90C5C"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Setiembre 2020</w:t>
            </w:r>
          </w:p>
        </w:tc>
        <w:tc>
          <w:tcPr>
            <w:tcW w:w="955" w:type="dxa"/>
          </w:tcPr>
          <w:p w14:paraId="34DAC04E" w14:textId="77777777" w:rsidR="00914D52" w:rsidRDefault="00914D52" w:rsidP="004A59CB">
            <w:pPr>
              <w:tabs>
                <w:tab w:val="left" w:pos="1787"/>
              </w:tabs>
              <w:jc w:val="center"/>
              <w:rPr>
                <w:rFonts w:ascii="Arial" w:hAnsi="Arial" w:cs="Arial"/>
                <w:sz w:val="20"/>
                <w:szCs w:val="20"/>
              </w:rPr>
            </w:pPr>
          </w:p>
          <w:p w14:paraId="5FBA61BD" w14:textId="376FD37A"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Octubre 2020</w:t>
            </w:r>
          </w:p>
        </w:tc>
        <w:tc>
          <w:tcPr>
            <w:tcW w:w="1183" w:type="dxa"/>
          </w:tcPr>
          <w:p w14:paraId="6F2625D5" w14:textId="77777777" w:rsidR="00914D52" w:rsidRDefault="00914D52" w:rsidP="004A59CB">
            <w:pPr>
              <w:tabs>
                <w:tab w:val="left" w:pos="1787"/>
              </w:tabs>
              <w:jc w:val="center"/>
              <w:rPr>
                <w:rFonts w:ascii="Arial" w:hAnsi="Arial" w:cs="Arial"/>
                <w:sz w:val="20"/>
                <w:szCs w:val="20"/>
              </w:rPr>
            </w:pPr>
          </w:p>
          <w:p w14:paraId="03C752ED" w14:textId="112C64DD" w:rsidR="00914D52" w:rsidRDefault="00914D52" w:rsidP="004A59CB">
            <w:pPr>
              <w:tabs>
                <w:tab w:val="left" w:pos="1787"/>
              </w:tabs>
              <w:jc w:val="center"/>
              <w:rPr>
                <w:rFonts w:ascii="Arial" w:hAnsi="Arial" w:cs="Arial"/>
                <w:sz w:val="20"/>
                <w:szCs w:val="20"/>
              </w:rPr>
            </w:pPr>
            <w:r>
              <w:rPr>
                <w:rFonts w:ascii="Arial" w:hAnsi="Arial" w:cs="Arial"/>
                <w:sz w:val="20"/>
                <w:szCs w:val="20"/>
              </w:rPr>
              <w:t>Noviembre</w:t>
            </w:r>
            <w:r>
              <w:rPr>
                <w:rFonts w:ascii="Arial" w:hAnsi="Arial" w:cs="Arial"/>
                <w:sz w:val="20"/>
                <w:szCs w:val="20"/>
              </w:rPr>
              <w:t xml:space="preserve"> 2020</w:t>
            </w:r>
          </w:p>
        </w:tc>
        <w:tc>
          <w:tcPr>
            <w:tcW w:w="1542" w:type="dxa"/>
          </w:tcPr>
          <w:p w14:paraId="6DAE633B" w14:textId="77777777" w:rsidR="00914D52" w:rsidRDefault="00914D52" w:rsidP="004A59CB">
            <w:pPr>
              <w:tabs>
                <w:tab w:val="left" w:pos="1787"/>
              </w:tabs>
              <w:jc w:val="center"/>
              <w:rPr>
                <w:rFonts w:ascii="Arial" w:hAnsi="Arial" w:cs="Arial"/>
                <w:sz w:val="20"/>
                <w:szCs w:val="20"/>
              </w:rPr>
            </w:pPr>
          </w:p>
          <w:p w14:paraId="28248412" w14:textId="093FBFD1" w:rsidR="00914D52" w:rsidRDefault="00914D52" w:rsidP="004A59CB">
            <w:pPr>
              <w:tabs>
                <w:tab w:val="left" w:pos="1787"/>
              </w:tabs>
              <w:jc w:val="center"/>
              <w:rPr>
                <w:rFonts w:ascii="Arial" w:hAnsi="Arial" w:cs="Arial"/>
                <w:sz w:val="20"/>
                <w:szCs w:val="20"/>
              </w:rPr>
            </w:pPr>
            <w:r>
              <w:rPr>
                <w:rFonts w:ascii="Arial" w:hAnsi="Arial" w:cs="Arial"/>
                <w:sz w:val="20"/>
                <w:szCs w:val="20"/>
              </w:rPr>
              <w:t>Diciembre 2020</w:t>
            </w:r>
          </w:p>
        </w:tc>
      </w:tr>
      <w:tr w:rsidR="00BD6F4C" w:rsidRPr="008B513E" w14:paraId="0A6D8C29" w14:textId="1BEB6256" w:rsidTr="00BD6F4C">
        <w:tc>
          <w:tcPr>
            <w:tcW w:w="1550" w:type="dxa"/>
          </w:tcPr>
          <w:p w14:paraId="0333228A" w14:textId="06F0B602"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Presentación del comité de ética</w:t>
            </w:r>
          </w:p>
        </w:tc>
        <w:tc>
          <w:tcPr>
            <w:tcW w:w="731" w:type="dxa"/>
          </w:tcPr>
          <w:p w14:paraId="5BC0B0E4" w14:textId="1957F1EB"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715" w:type="dxa"/>
          </w:tcPr>
          <w:p w14:paraId="0A4F13D8" w14:textId="77777777" w:rsidR="00914D52" w:rsidRPr="008B513E" w:rsidRDefault="00914D52" w:rsidP="004A59CB">
            <w:pPr>
              <w:tabs>
                <w:tab w:val="left" w:pos="1787"/>
              </w:tabs>
              <w:jc w:val="center"/>
              <w:rPr>
                <w:rFonts w:ascii="Arial" w:hAnsi="Arial" w:cs="Arial"/>
                <w:sz w:val="20"/>
                <w:szCs w:val="20"/>
              </w:rPr>
            </w:pPr>
          </w:p>
        </w:tc>
        <w:tc>
          <w:tcPr>
            <w:tcW w:w="686" w:type="dxa"/>
          </w:tcPr>
          <w:p w14:paraId="16B8F700" w14:textId="77777777" w:rsidR="00914D52" w:rsidRPr="008B513E" w:rsidRDefault="00914D52" w:rsidP="004A59CB">
            <w:pPr>
              <w:tabs>
                <w:tab w:val="left" w:pos="1787"/>
              </w:tabs>
              <w:jc w:val="center"/>
              <w:rPr>
                <w:rFonts w:ascii="Arial" w:hAnsi="Arial" w:cs="Arial"/>
                <w:sz w:val="20"/>
                <w:szCs w:val="20"/>
              </w:rPr>
            </w:pPr>
          </w:p>
        </w:tc>
        <w:tc>
          <w:tcPr>
            <w:tcW w:w="861" w:type="dxa"/>
          </w:tcPr>
          <w:p w14:paraId="50E870F3" w14:textId="77777777" w:rsidR="00914D52" w:rsidRPr="008B513E" w:rsidRDefault="00914D52" w:rsidP="004A59CB">
            <w:pPr>
              <w:tabs>
                <w:tab w:val="left" w:pos="1787"/>
              </w:tabs>
              <w:jc w:val="center"/>
              <w:rPr>
                <w:rFonts w:ascii="Arial" w:hAnsi="Arial" w:cs="Arial"/>
                <w:sz w:val="20"/>
                <w:szCs w:val="20"/>
              </w:rPr>
            </w:pPr>
          </w:p>
        </w:tc>
        <w:tc>
          <w:tcPr>
            <w:tcW w:w="1128" w:type="dxa"/>
          </w:tcPr>
          <w:p w14:paraId="0041EBBB" w14:textId="77777777" w:rsidR="00914D52" w:rsidRPr="008B513E" w:rsidRDefault="00914D52" w:rsidP="004A59CB">
            <w:pPr>
              <w:tabs>
                <w:tab w:val="left" w:pos="1787"/>
              </w:tabs>
              <w:jc w:val="center"/>
              <w:rPr>
                <w:rFonts w:ascii="Arial" w:hAnsi="Arial" w:cs="Arial"/>
                <w:sz w:val="20"/>
                <w:szCs w:val="20"/>
              </w:rPr>
            </w:pPr>
          </w:p>
        </w:tc>
        <w:tc>
          <w:tcPr>
            <w:tcW w:w="955" w:type="dxa"/>
          </w:tcPr>
          <w:p w14:paraId="7BFD030D" w14:textId="77777777" w:rsidR="00914D52" w:rsidRPr="008B513E" w:rsidRDefault="00914D52" w:rsidP="004A59CB">
            <w:pPr>
              <w:tabs>
                <w:tab w:val="left" w:pos="1787"/>
              </w:tabs>
              <w:jc w:val="center"/>
              <w:rPr>
                <w:rFonts w:ascii="Arial" w:hAnsi="Arial" w:cs="Arial"/>
                <w:sz w:val="20"/>
                <w:szCs w:val="20"/>
              </w:rPr>
            </w:pPr>
          </w:p>
        </w:tc>
        <w:tc>
          <w:tcPr>
            <w:tcW w:w="1183" w:type="dxa"/>
          </w:tcPr>
          <w:p w14:paraId="708F796F" w14:textId="77777777" w:rsidR="00914D52" w:rsidRPr="008B513E" w:rsidRDefault="00914D52" w:rsidP="004A59CB">
            <w:pPr>
              <w:tabs>
                <w:tab w:val="left" w:pos="1787"/>
              </w:tabs>
              <w:jc w:val="center"/>
              <w:rPr>
                <w:rFonts w:ascii="Arial" w:hAnsi="Arial" w:cs="Arial"/>
                <w:sz w:val="20"/>
                <w:szCs w:val="20"/>
              </w:rPr>
            </w:pPr>
          </w:p>
        </w:tc>
        <w:tc>
          <w:tcPr>
            <w:tcW w:w="1542" w:type="dxa"/>
          </w:tcPr>
          <w:p w14:paraId="30282EC5" w14:textId="77777777" w:rsidR="00914D52" w:rsidRPr="008B513E" w:rsidRDefault="00914D52" w:rsidP="004A59CB">
            <w:pPr>
              <w:tabs>
                <w:tab w:val="left" w:pos="1787"/>
              </w:tabs>
              <w:jc w:val="center"/>
              <w:rPr>
                <w:rFonts w:ascii="Arial" w:hAnsi="Arial" w:cs="Arial"/>
                <w:sz w:val="20"/>
                <w:szCs w:val="20"/>
              </w:rPr>
            </w:pPr>
          </w:p>
        </w:tc>
      </w:tr>
      <w:tr w:rsidR="00BD6F4C" w:rsidRPr="008B513E" w14:paraId="7A832C8A" w14:textId="109717E2" w:rsidTr="00BD6F4C">
        <w:tc>
          <w:tcPr>
            <w:tcW w:w="1550" w:type="dxa"/>
          </w:tcPr>
          <w:p w14:paraId="27A6A503" w14:textId="29BDD615"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 xml:space="preserve">Recolección de información </w:t>
            </w:r>
          </w:p>
        </w:tc>
        <w:tc>
          <w:tcPr>
            <w:tcW w:w="731" w:type="dxa"/>
          </w:tcPr>
          <w:p w14:paraId="3F152CB2" w14:textId="77777777" w:rsidR="00914D52" w:rsidRPr="008B513E" w:rsidRDefault="00914D52" w:rsidP="004A59CB">
            <w:pPr>
              <w:tabs>
                <w:tab w:val="left" w:pos="1787"/>
              </w:tabs>
              <w:jc w:val="center"/>
              <w:rPr>
                <w:rFonts w:ascii="Arial" w:hAnsi="Arial" w:cs="Arial"/>
                <w:sz w:val="20"/>
                <w:szCs w:val="20"/>
              </w:rPr>
            </w:pPr>
          </w:p>
        </w:tc>
        <w:tc>
          <w:tcPr>
            <w:tcW w:w="715" w:type="dxa"/>
          </w:tcPr>
          <w:p w14:paraId="2A6082E1" w14:textId="5DE87B71"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686" w:type="dxa"/>
          </w:tcPr>
          <w:p w14:paraId="5389BFE3" w14:textId="16799FB7"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861" w:type="dxa"/>
          </w:tcPr>
          <w:p w14:paraId="6693529C" w14:textId="2594900A" w:rsidR="00914D52" w:rsidRPr="008B513E" w:rsidRDefault="00914D52" w:rsidP="004A59CB">
            <w:pPr>
              <w:tabs>
                <w:tab w:val="left" w:pos="1787"/>
              </w:tabs>
              <w:jc w:val="center"/>
              <w:rPr>
                <w:rFonts w:ascii="Arial" w:hAnsi="Arial" w:cs="Arial"/>
                <w:sz w:val="20"/>
                <w:szCs w:val="20"/>
              </w:rPr>
            </w:pPr>
          </w:p>
        </w:tc>
        <w:tc>
          <w:tcPr>
            <w:tcW w:w="1128" w:type="dxa"/>
          </w:tcPr>
          <w:p w14:paraId="3CD52122" w14:textId="77777777" w:rsidR="00914D52" w:rsidRPr="008B513E" w:rsidRDefault="00914D52" w:rsidP="004A59CB">
            <w:pPr>
              <w:tabs>
                <w:tab w:val="left" w:pos="1787"/>
              </w:tabs>
              <w:jc w:val="center"/>
              <w:rPr>
                <w:rFonts w:ascii="Arial" w:hAnsi="Arial" w:cs="Arial"/>
                <w:sz w:val="20"/>
                <w:szCs w:val="20"/>
              </w:rPr>
            </w:pPr>
          </w:p>
        </w:tc>
        <w:tc>
          <w:tcPr>
            <w:tcW w:w="955" w:type="dxa"/>
          </w:tcPr>
          <w:p w14:paraId="5764F5DC" w14:textId="77777777" w:rsidR="00914D52" w:rsidRPr="008B513E" w:rsidRDefault="00914D52" w:rsidP="004A59CB">
            <w:pPr>
              <w:tabs>
                <w:tab w:val="left" w:pos="1787"/>
              </w:tabs>
              <w:jc w:val="center"/>
              <w:rPr>
                <w:rFonts w:ascii="Arial" w:hAnsi="Arial" w:cs="Arial"/>
                <w:sz w:val="20"/>
                <w:szCs w:val="20"/>
              </w:rPr>
            </w:pPr>
          </w:p>
        </w:tc>
        <w:tc>
          <w:tcPr>
            <w:tcW w:w="1183" w:type="dxa"/>
          </w:tcPr>
          <w:p w14:paraId="6DA9F646" w14:textId="77777777" w:rsidR="00914D52" w:rsidRPr="008B513E" w:rsidRDefault="00914D52" w:rsidP="004A59CB">
            <w:pPr>
              <w:tabs>
                <w:tab w:val="left" w:pos="1787"/>
              </w:tabs>
              <w:jc w:val="center"/>
              <w:rPr>
                <w:rFonts w:ascii="Arial" w:hAnsi="Arial" w:cs="Arial"/>
                <w:sz w:val="20"/>
                <w:szCs w:val="20"/>
              </w:rPr>
            </w:pPr>
          </w:p>
        </w:tc>
        <w:tc>
          <w:tcPr>
            <w:tcW w:w="1542" w:type="dxa"/>
          </w:tcPr>
          <w:p w14:paraId="0F7BE430" w14:textId="77777777" w:rsidR="00914D52" w:rsidRPr="008B513E" w:rsidRDefault="00914D52" w:rsidP="004A59CB">
            <w:pPr>
              <w:tabs>
                <w:tab w:val="left" w:pos="1787"/>
              </w:tabs>
              <w:jc w:val="center"/>
              <w:rPr>
                <w:rFonts w:ascii="Arial" w:hAnsi="Arial" w:cs="Arial"/>
                <w:sz w:val="20"/>
                <w:szCs w:val="20"/>
              </w:rPr>
            </w:pPr>
          </w:p>
        </w:tc>
      </w:tr>
      <w:tr w:rsidR="00BD6F4C" w:rsidRPr="008B513E" w14:paraId="107B6213" w14:textId="1EEDC9ED" w:rsidTr="00BD6F4C">
        <w:tc>
          <w:tcPr>
            <w:tcW w:w="1550" w:type="dxa"/>
          </w:tcPr>
          <w:p w14:paraId="1550A40B" w14:textId="72CAA590"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Procesamiento de datos</w:t>
            </w:r>
          </w:p>
        </w:tc>
        <w:tc>
          <w:tcPr>
            <w:tcW w:w="731" w:type="dxa"/>
          </w:tcPr>
          <w:p w14:paraId="51B201DA" w14:textId="77777777" w:rsidR="00914D52" w:rsidRPr="008B513E" w:rsidRDefault="00914D52" w:rsidP="004A59CB">
            <w:pPr>
              <w:tabs>
                <w:tab w:val="left" w:pos="1787"/>
              </w:tabs>
              <w:jc w:val="center"/>
              <w:rPr>
                <w:rFonts w:ascii="Arial" w:hAnsi="Arial" w:cs="Arial"/>
                <w:sz w:val="20"/>
                <w:szCs w:val="20"/>
              </w:rPr>
            </w:pPr>
          </w:p>
        </w:tc>
        <w:tc>
          <w:tcPr>
            <w:tcW w:w="715" w:type="dxa"/>
          </w:tcPr>
          <w:p w14:paraId="34FDE974" w14:textId="77777777" w:rsidR="00914D52" w:rsidRPr="008B513E" w:rsidRDefault="00914D52" w:rsidP="004A59CB">
            <w:pPr>
              <w:tabs>
                <w:tab w:val="left" w:pos="1787"/>
              </w:tabs>
              <w:jc w:val="center"/>
              <w:rPr>
                <w:rFonts w:ascii="Arial" w:hAnsi="Arial" w:cs="Arial"/>
                <w:sz w:val="20"/>
                <w:szCs w:val="20"/>
              </w:rPr>
            </w:pPr>
          </w:p>
        </w:tc>
        <w:tc>
          <w:tcPr>
            <w:tcW w:w="686" w:type="dxa"/>
          </w:tcPr>
          <w:p w14:paraId="0BF1D824" w14:textId="77777777" w:rsidR="00914D52" w:rsidRPr="008B513E" w:rsidRDefault="00914D52" w:rsidP="004A59CB">
            <w:pPr>
              <w:tabs>
                <w:tab w:val="left" w:pos="1787"/>
              </w:tabs>
              <w:jc w:val="center"/>
              <w:rPr>
                <w:rFonts w:ascii="Arial" w:hAnsi="Arial" w:cs="Arial"/>
                <w:sz w:val="20"/>
                <w:szCs w:val="20"/>
              </w:rPr>
            </w:pPr>
          </w:p>
        </w:tc>
        <w:tc>
          <w:tcPr>
            <w:tcW w:w="861" w:type="dxa"/>
          </w:tcPr>
          <w:p w14:paraId="35C57087" w14:textId="77777777" w:rsidR="00914D52" w:rsidRDefault="00914D52" w:rsidP="004A59CB">
            <w:pPr>
              <w:tabs>
                <w:tab w:val="left" w:pos="1787"/>
              </w:tabs>
              <w:jc w:val="center"/>
              <w:rPr>
                <w:rFonts w:ascii="Arial" w:hAnsi="Arial" w:cs="Arial"/>
                <w:sz w:val="20"/>
                <w:szCs w:val="20"/>
              </w:rPr>
            </w:pPr>
            <w:r>
              <w:rPr>
                <w:rFonts w:ascii="Arial" w:hAnsi="Arial" w:cs="Arial"/>
                <w:sz w:val="20"/>
                <w:szCs w:val="20"/>
              </w:rPr>
              <w:t xml:space="preserve">X </w:t>
            </w:r>
            <w:r w:rsidRPr="008B513E">
              <w:rPr>
                <w:rFonts w:ascii="Arial" w:hAnsi="Arial" w:cs="Arial"/>
                <w:sz w:val="20"/>
                <w:szCs w:val="20"/>
                <w:highlight w:val="yellow"/>
              </w:rPr>
              <w:t>(</w:t>
            </w:r>
            <w:proofErr w:type="spellStart"/>
            <w:proofErr w:type="gramStart"/>
            <w:r w:rsidRPr="008B513E">
              <w:rPr>
                <w:rFonts w:ascii="Arial" w:hAnsi="Arial" w:cs="Arial"/>
                <w:sz w:val="20"/>
                <w:szCs w:val="20"/>
                <w:highlight w:val="yellow"/>
              </w:rPr>
              <w:t>Ash</w:t>
            </w:r>
            <w:proofErr w:type="spellEnd"/>
            <w:r w:rsidRPr="008B513E">
              <w:rPr>
                <w:rFonts w:ascii="Arial" w:hAnsi="Arial" w:cs="Arial"/>
                <w:sz w:val="20"/>
                <w:szCs w:val="20"/>
                <w:highlight w:val="yellow"/>
              </w:rPr>
              <w:t>?</w:t>
            </w:r>
            <w:proofErr w:type="gramEnd"/>
            <w:r w:rsidRPr="008B513E">
              <w:rPr>
                <w:rFonts w:ascii="Arial" w:hAnsi="Arial" w:cs="Arial"/>
                <w:sz w:val="20"/>
                <w:szCs w:val="20"/>
                <w:highlight w:val="yellow"/>
              </w:rPr>
              <w:t>)</w:t>
            </w:r>
          </w:p>
          <w:p w14:paraId="57FD9E1D" w14:textId="727AB90A" w:rsidR="00BD6F4C" w:rsidRPr="008B513E" w:rsidRDefault="00BD6F4C" w:rsidP="004A59CB">
            <w:pPr>
              <w:tabs>
                <w:tab w:val="left" w:pos="1787"/>
              </w:tabs>
              <w:jc w:val="center"/>
              <w:rPr>
                <w:rFonts w:ascii="Arial" w:hAnsi="Arial" w:cs="Arial"/>
                <w:sz w:val="20"/>
                <w:szCs w:val="20"/>
              </w:rPr>
            </w:pPr>
            <w:proofErr w:type="spellStart"/>
            <w:r>
              <w:rPr>
                <w:rFonts w:ascii="Arial" w:hAnsi="Arial" w:cs="Arial"/>
                <w:sz w:val="20"/>
                <w:szCs w:val="20"/>
              </w:rPr>
              <w:t>Deadline</w:t>
            </w:r>
            <w:proofErr w:type="spellEnd"/>
            <w:r>
              <w:rPr>
                <w:rFonts w:ascii="Arial" w:hAnsi="Arial" w:cs="Arial"/>
                <w:sz w:val="20"/>
                <w:szCs w:val="20"/>
              </w:rPr>
              <w:t xml:space="preserve"> 4 </w:t>
            </w:r>
            <w:proofErr w:type="gramStart"/>
            <w:r>
              <w:rPr>
                <w:rFonts w:ascii="Arial" w:hAnsi="Arial" w:cs="Arial"/>
                <w:sz w:val="20"/>
                <w:szCs w:val="20"/>
              </w:rPr>
              <w:t>Agosto</w:t>
            </w:r>
            <w:proofErr w:type="gramEnd"/>
          </w:p>
        </w:tc>
        <w:tc>
          <w:tcPr>
            <w:tcW w:w="1128" w:type="dxa"/>
          </w:tcPr>
          <w:p w14:paraId="37A7B1DA" w14:textId="63481F60" w:rsidR="00914D52" w:rsidRPr="008B513E" w:rsidRDefault="00914D52" w:rsidP="004A59CB">
            <w:pPr>
              <w:tabs>
                <w:tab w:val="left" w:pos="1787"/>
              </w:tabs>
              <w:jc w:val="center"/>
              <w:rPr>
                <w:rFonts w:ascii="Arial" w:hAnsi="Arial" w:cs="Arial"/>
                <w:sz w:val="20"/>
                <w:szCs w:val="20"/>
              </w:rPr>
            </w:pPr>
          </w:p>
        </w:tc>
        <w:tc>
          <w:tcPr>
            <w:tcW w:w="955" w:type="dxa"/>
          </w:tcPr>
          <w:p w14:paraId="375EC094" w14:textId="77777777" w:rsidR="00914D52" w:rsidRPr="008B513E" w:rsidRDefault="00914D52" w:rsidP="004A59CB">
            <w:pPr>
              <w:tabs>
                <w:tab w:val="left" w:pos="1787"/>
              </w:tabs>
              <w:jc w:val="center"/>
              <w:rPr>
                <w:rFonts w:ascii="Arial" w:hAnsi="Arial" w:cs="Arial"/>
                <w:sz w:val="20"/>
                <w:szCs w:val="20"/>
              </w:rPr>
            </w:pPr>
          </w:p>
        </w:tc>
        <w:tc>
          <w:tcPr>
            <w:tcW w:w="1183" w:type="dxa"/>
          </w:tcPr>
          <w:p w14:paraId="09B3FC92" w14:textId="77777777" w:rsidR="00914D52" w:rsidRPr="008B513E" w:rsidRDefault="00914D52" w:rsidP="004A59CB">
            <w:pPr>
              <w:tabs>
                <w:tab w:val="left" w:pos="1787"/>
              </w:tabs>
              <w:jc w:val="center"/>
              <w:rPr>
                <w:rFonts w:ascii="Arial" w:hAnsi="Arial" w:cs="Arial"/>
                <w:sz w:val="20"/>
                <w:szCs w:val="20"/>
              </w:rPr>
            </w:pPr>
          </w:p>
        </w:tc>
        <w:tc>
          <w:tcPr>
            <w:tcW w:w="1542" w:type="dxa"/>
          </w:tcPr>
          <w:p w14:paraId="23683D53" w14:textId="77777777" w:rsidR="00914D52" w:rsidRPr="008B513E" w:rsidRDefault="00914D52" w:rsidP="004A59CB">
            <w:pPr>
              <w:tabs>
                <w:tab w:val="left" w:pos="1787"/>
              </w:tabs>
              <w:jc w:val="center"/>
              <w:rPr>
                <w:rFonts w:ascii="Arial" w:hAnsi="Arial" w:cs="Arial"/>
                <w:sz w:val="20"/>
                <w:szCs w:val="20"/>
              </w:rPr>
            </w:pPr>
          </w:p>
        </w:tc>
      </w:tr>
      <w:tr w:rsidR="00BD6F4C" w:rsidRPr="008B513E" w14:paraId="08C6DCF3" w14:textId="710563C7" w:rsidTr="00BD6F4C">
        <w:tc>
          <w:tcPr>
            <w:tcW w:w="1550" w:type="dxa"/>
          </w:tcPr>
          <w:p w14:paraId="686E1E22" w14:textId="11A62DE4"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Análisis de información</w:t>
            </w:r>
          </w:p>
        </w:tc>
        <w:tc>
          <w:tcPr>
            <w:tcW w:w="731" w:type="dxa"/>
          </w:tcPr>
          <w:p w14:paraId="6386F722" w14:textId="77777777" w:rsidR="00914D52" w:rsidRPr="008B513E" w:rsidRDefault="00914D52" w:rsidP="004A59CB">
            <w:pPr>
              <w:tabs>
                <w:tab w:val="left" w:pos="1787"/>
              </w:tabs>
              <w:jc w:val="center"/>
              <w:rPr>
                <w:rFonts w:ascii="Arial" w:hAnsi="Arial" w:cs="Arial"/>
                <w:sz w:val="20"/>
                <w:szCs w:val="20"/>
              </w:rPr>
            </w:pPr>
          </w:p>
        </w:tc>
        <w:tc>
          <w:tcPr>
            <w:tcW w:w="715" w:type="dxa"/>
          </w:tcPr>
          <w:p w14:paraId="4BC3CC10" w14:textId="77777777" w:rsidR="00914D52" w:rsidRPr="008B513E" w:rsidRDefault="00914D52" w:rsidP="004A59CB">
            <w:pPr>
              <w:tabs>
                <w:tab w:val="left" w:pos="1787"/>
              </w:tabs>
              <w:jc w:val="center"/>
              <w:rPr>
                <w:rFonts w:ascii="Arial" w:hAnsi="Arial" w:cs="Arial"/>
                <w:sz w:val="20"/>
                <w:szCs w:val="20"/>
              </w:rPr>
            </w:pPr>
          </w:p>
        </w:tc>
        <w:tc>
          <w:tcPr>
            <w:tcW w:w="686" w:type="dxa"/>
          </w:tcPr>
          <w:p w14:paraId="31784D31" w14:textId="77777777" w:rsidR="00914D52" w:rsidRPr="008B513E" w:rsidRDefault="00914D52" w:rsidP="004A59CB">
            <w:pPr>
              <w:tabs>
                <w:tab w:val="left" w:pos="1787"/>
              </w:tabs>
              <w:jc w:val="center"/>
              <w:rPr>
                <w:rFonts w:ascii="Arial" w:hAnsi="Arial" w:cs="Arial"/>
                <w:sz w:val="20"/>
                <w:szCs w:val="20"/>
              </w:rPr>
            </w:pPr>
          </w:p>
        </w:tc>
        <w:tc>
          <w:tcPr>
            <w:tcW w:w="861" w:type="dxa"/>
          </w:tcPr>
          <w:p w14:paraId="6F36204C" w14:textId="4F66862E"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1128" w:type="dxa"/>
          </w:tcPr>
          <w:p w14:paraId="0A81F91A" w14:textId="60E88375" w:rsidR="00914D52" w:rsidRPr="008B513E" w:rsidRDefault="00914D52" w:rsidP="004A59CB">
            <w:pPr>
              <w:tabs>
                <w:tab w:val="left" w:pos="1787"/>
              </w:tabs>
              <w:jc w:val="center"/>
              <w:rPr>
                <w:rFonts w:ascii="Arial" w:hAnsi="Arial" w:cs="Arial"/>
                <w:sz w:val="20"/>
                <w:szCs w:val="20"/>
              </w:rPr>
            </w:pPr>
          </w:p>
        </w:tc>
        <w:tc>
          <w:tcPr>
            <w:tcW w:w="955" w:type="dxa"/>
          </w:tcPr>
          <w:p w14:paraId="373E06BB" w14:textId="77777777" w:rsidR="00914D52" w:rsidRPr="008B513E" w:rsidRDefault="00914D52" w:rsidP="004A59CB">
            <w:pPr>
              <w:tabs>
                <w:tab w:val="left" w:pos="1787"/>
              </w:tabs>
              <w:jc w:val="center"/>
              <w:rPr>
                <w:rFonts w:ascii="Arial" w:hAnsi="Arial" w:cs="Arial"/>
                <w:sz w:val="20"/>
                <w:szCs w:val="20"/>
              </w:rPr>
            </w:pPr>
          </w:p>
        </w:tc>
        <w:tc>
          <w:tcPr>
            <w:tcW w:w="1183" w:type="dxa"/>
          </w:tcPr>
          <w:p w14:paraId="1DABC69E" w14:textId="77777777" w:rsidR="00914D52" w:rsidRPr="008B513E" w:rsidRDefault="00914D52" w:rsidP="004A59CB">
            <w:pPr>
              <w:tabs>
                <w:tab w:val="left" w:pos="1787"/>
              </w:tabs>
              <w:jc w:val="center"/>
              <w:rPr>
                <w:rFonts w:ascii="Arial" w:hAnsi="Arial" w:cs="Arial"/>
                <w:sz w:val="20"/>
                <w:szCs w:val="20"/>
              </w:rPr>
            </w:pPr>
          </w:p>
        </w:tc>
        <w:tc>
          <w:tcPr>
            <w:tcW w:w="1542" w:type="dxa"/>
          </w:tcPr>
          <w:p w14:paraId="76D1C632" w14:textId="77777777" w:rsidR="00914D52" w:rsidRPr="008B513E" w:rsidRDefault="00914D52" w:rsidP="004A59CB">
            <w:pPr>
              <w:tabs>
                <w:tab w:val="left" w:pos="1787"/>
              </w:tabs>
              <w:jc w:val="center"/>
              <w:rPr>
                <w:rFonts w:ascii="Arial" w:hAnsi="Arial" w:cs="Arial"/>
                <w:sz w:val="20"/>
                <w:szCs w:val="20"/>
              </w:rPr>
            </w:pPr>
          </w:p>
        </w:tc>
      </w:tr>
      <w:tr w:rsidR="00BD6F4C" w:rsidRPr="008B513E" w14:paraId="1B994DA2" w14:textId="68AD6492" w:rsidTr="00BD6F4C">
        <w:trPr>
          <w:trHeight w:val="479"/>
        </w:trPr>
        <w:tc>
          <w:tcPr>
            <w:tcW w:w="1550" w:type="dxa"/>
          </w:tcPr>
          <w:p w14:paraId="2F3B42D8" w14:textId="0F802918" w:rsidR="00914D52" w:rsidRPr="008B513E" w:rsidRDefault="00914D52" w:rsidP="004216BD">
            <w:pPr>
              <w:tabs>
                <w:tab w:val="left" w:pos="1787"/>
              </w:tabs>
              <w:rPr>
                <w:rFonts w:ascii="Arial" w:hAnsi="Arial" w:cs="Arial"/>
                <w:sz w:val="20"/>
                <w:szCs w:val="20"/>
              </w:rPr>
            </w:pPr>
            <w:r w:rsidRPr="008B513E">
              <w:rPr>
                <w:rFonts w:ascii="Arial" w:hAnsi="Arial" w:cs="Arial"/>
                <w:sz w:val="20"/>
                <w:szCs w:val="20"/>
              </w:rPr>
              <w:t xml:space="preserve">Informe final </w:t>
            </w:r>
          </w:p>
          <w:p w14:paraId="50171178" w14:textId="77777777" w:rsidR="00914D52" w:rsidRPr="008B513E" w:rsidRDefault="00914D52" w:rsidP="004216BD">
            <w:pPr>
              <w:tabs>
                <w:tab w:val="left" w:pos="1787"/>
              </w:tabs>
              <w:rPr>
                <w:rFonts w:ascii="Arial" w:hAnsi="Arial" w:cs="Arial"/>
                <w:sz w:val="20"/>
                <w:szCs w:val="20"/>
              </w:rPr>
            </w:pPr>
          </w:p>
        </w:tc>
        <w:tc>
          <w:tcPr>
            <w:tcW w:w="731" w:type="dxa"/>
          </w:tcPr>
          <w:p w14:paraId="20061578" w14:textId="77777777" w:rsidR="00914D52" w:rsidRPr="008B513E" w:rsidRDefault="00914D52" w:rsidP="004A59CB">
            <w:pPr>
              <w:tabs>
                <w:tab w:val="left" w:pos="1787"/>
              </w:tabs>
              <w:jc w:val="center"/>
              <w:rPr>
                <w:rFonts w:ascii="Arial" w:hAnsi="Arial" w:cs="Arial"/>
                <w:sz w:val="20"/>
                <w:szCs w:val="20"/>
              </w:rPr>
            </w:pPr>
          </w:p>
        </w:tc>
        <w:tc>
          <w:tcPr>
            <w:tcW w:w="715" w:type="dxa"/>
          </w:tcPr>
          <w:p w14:paraId="24724D26" w14:textId="77777777" w:rsidR="00914D52" w:rsidRPr="008B513E" w:rsidRDefault="00914D52" w:rsidP="004A59CB">
            <w:pPr>
              <w:tabs>
                <w:tab w:val="left" w:pos="1787"/>
              </w:tabs>
              <w:jc w:val="center"/>
              <w:rPr>
                <w:rFonts w:ascii="Arial" w:hAnsi="Arial" w:cs="Arial"/>
                <w:sz w:val="20"/>
                <w:szCs w:val="20"/>
              </w:rPr>
            </w:pPr>
          </w:p>
        </w:tc>
        <w:tc>
          <w:tcPr>
            <w:tcW w:w="686" w:type="dxa"/>
          </w:tcPr>
          <w:p w14:paraId="50067941" w14:textId="77777777" w:rsidR="00914D52" w:rsidRPr="008B513E" w:rsidRDefault="00914D52" w:rsidP="004A59CB">
            <w:pPr>
              <w:tabs>
                <w:tab w:val="left" w:pos="1787"/>
              </w:tabs>
              <w:jc w:val="center"/>
              <w:rPr>
                <w:rFonts w:ascii="Arial" w:hAnsi="Arial" w:cs="Arial"/>
                <w:sz w:val="20"/>
                <w:szCs w:val="20"/>
              </w:rPr>
            </w:pPr>
          </w:p>
        </w:tc>
        <w:tc>
          <w:tcPr>
            <w:tcW w:w="861" w:type="dxa"/>
          </w:tcPr>
          <w:p w14:paraId="23669346" w14:textId="77777777" w:rsidR="00914D52" w:rsidRPr="008B513E" w:rsidRDefault="00914D52" w:rsidP="004A59CB">
            <w:pPr>
              <w:tabs>
                <w:tab w:val="left" w:pos="1787"/>
              </w:tabs>
              <w:jc w:val="center"/>
              <w:rPr>
                <w:rFonts w:ascii="Arial" w:hAnsi="Arial" w:cs="Arial"/>
                <w:sz w:val="20"/>
                <w:szCs w:val="20"/>
              </w:rPr>
            </w:pPr>
          </w:p>
        </w:tc>
        <w:tc>
          <w:tcPr>
            <w:tcW w:w="1128" w:type="dxa"/>
          </w:tcPr>
          <w:p w14:paraId="312CA40C" w14:textId="412F8863"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955" w:type="dxa"/>
          </w:tcPr>
          <w:p w14:paraId="189E1C01" w14:textId="77777777" w:rsidR="00914D52" w:rsidRPr="008B513E" w:rsidRDefault="00914D52" w:rsidP="004A59CB">
            <w:pPr>
              <w:tabs>
                <w:tab w:val="left" w:pos="1787"/>
              </w:tabs>
              <w:jc w:val="center"/>
              <w:rPr>
                <w:rFonts w:ascii="Arial" w:hAnsi="Arial" w:cs="Arial"/>
                <w:sz w:val="20"/>
                <w:szCs w:val="20"/>
              </w:rPr>
            </w:pPr>
          </w:p>
        </w:tc>
        <w:tc>
          <w:tcPr>
            <w:tcW w:w="1183" w:type="dxa"/>
          </w:tcPr>
          <w:p w14:paraId="35D40BFC" w14:textId="77777777" w:rsidR="00914D52" w:rsidRPr="008B513E" w:rsidRDefault="00914D52" w:rsidP="004A59CB">
            <w:pPr>
              <w:tabs>
                <w:tab w:val="left" w:pos="1787"/>
              </w:tabs>
              <w:jc w:val="center"/>
              <w:rPr>
                <w:rFonts w:ascii="Arial" w:hAnsi="Arial" w:cs="Arial"/>
                <w:sz w:val="20"/>
                <w:szCs w:val="20"/>
              </w:rPr>
            </w:pPr>
          </w:p>
        </w:tc>
        <w:tc>
          <w:tcPr>
            <w:tcW w:w="1542" w:type="dxa"/>
          </w:tcPr>
          <w:p w14:paraId="5EF83158" w14:textId="77777777" w:rsidR="00914D52" w:rsidRPr="008B513E" w:rsidRDefault="00914D52" w:rsidP="004A59CB">
            <w:pPr>
              <w:tabs>
                <w:tab w:val="left" w:pos="1787"/>
              </w:tabs>
              <w:jc w:val="center"/>
              <w:rPr>
                <w:rFonts w:ascii="Arial" w:hAnsi="Arial" w:cs="Arial"/>
                <w:sz w:val="20"/>
                <w:szCs w:val="20"/>
              </w:rPr>
            </w:pPr>
          </w:p>
        </w:tc>
      </w:tr>
      <w:tr w:rsidR="00BD6F4C" w:rsidRPr="008B513E" w14:paraId="456CE032" w14:textId="7289E3EB" w:rsidTr="00BD6F4C">
        <w:tc>
          <w:tcPr>
            <w:tcW w:w="1550" w:type="dxa"/>
          </w:tcPr>
          <w:p w14:paraId="6343F6EC" w14:textId="36806CD3" w:rsidR="00914D52" w:rsidRPr="008B513E" w:rsidRDefault="00914D52" w:rsidP="004216BD">
            <w:pPr>
              <w:tabs>
                <w:tab w:val="left" w:pos="1787"/>
              </w:tabs>
              <w:rPr>
                <w:rFonts w:ascii="Arial" w:hAnsi="Arial" w:cs="Arial"/>
                <w:sz w:val="20"/>
                <w:szCs w:val="20"/>
              </w:rPr>
            </w:pPr>
            <w:r>
              <w:rPr>
                <w:rFonts w:ascii="Arial" w:hAnsi="Arial" w:cs="Arial"/>
                <w:sz w:val="20"/>
                <w:szCs w:val="20"/>
              </w:rPr>
              <w:t>Confección de articulo para revista</w:t>
            </w:r>
          </w:p>
        </w:tc>
        <w:tc>
          <w:tcPr>
            <w:tcW w:w="731" w:type="dxa"/>
          </w:tcPr>
          <w:p w14:paraId="4164A8FB" w14:textId="77777777" w:rsidR="00914D52" w:rsidRPr="008B513E" w:rsidRDefault="00914D52" w:rsidP="004A59CB">
            <w:pPr>
              <w:tabs>
                <w:tab w:val="left" w:pos="1787"/>
              </w:tabs>
              <w:jc w:val="center"/>
              <w:rPr>
                <w:rFonts w:ascii="Arial" w:hAnsi="Arial" w:cs="Arial"/>
                <w:sz w:val="20"/>
                <w:szCs w:val="20"/>
              </w:rPr>
            </w:pPr>
          </w:p>
        </w:tc>
        <w:tc>
          <w:tcPr>
            <w:tcW w:w="715" w:type="dxa"/>
          </w:tcPr>
          <w:p w14:paraId="4DB37894" w14:textId="77777777" w:rsidR="00914D52" w:rsidRPr="008B513E" w:rsidRDefault="00914D52" w:rsidP="004A59CB">
            <w:pPr>
              <w:tabs>
                <w:tab w:val="left" w:pos="1787"/>
              </w:tabs>
              <w:jc w:val="center"/>
              <w:rPr>
                <w:rFonts w:ascii="Arial" w:hAnsi="Arial" w:cs="Arial"/>
                <w:sz w:val="20"/>
                <w:szCs w:val="20"/>
              </w:rPr>
            </w:pPr>
          </w:p>
        </w:tc>
        <w:tc>
          <w:tcPr>
            <w:tcW w:w="686" w:type="dxa"/>
          </w:tcPr>
          <w:p w14:paraId="7925A5F8" w14:textId="77777777" w:rsidR="00914D52" w:rsidRPr="008B513E" w:rsidRDefault="00914D52" w:rsidP="004A59CB">
            <w:pPr>
              <w:tabs>
                <w:tab w:val="left" w:pos="1787"/>
              </w:tabs>
              <w:jc w:val="center"/>
              <w:rPr>
                <w:rFonts w:ascii="Arial" w:hAnsi="Arial" w:cs="Arial"/>
                <w:sz w:val="20"/>
                <w:szCs w:val="20"/>
              </w:rPr>
            </w:pPr>
          </w:p>
        </w:tc>
        <w:tc>
          <w:tcPr>
            <w:tcW w:w="861" w:type="dxa"/>
          </w:tcPr>
          <w:p w14:paraId="345D23FD" w14:textId="77777777" w:rsidR="00914D52" w:rsidRPr="008B513E" w:rsidRDefault="00914D52" w:rsidP="004A59CB">
            <w:pPr>
              <w:tabs>
                <w:tab w:val="left" w:pos="1787"/>
              </w:tabs>
              <w:jc w:val="center"/>
              <w:rPr>
                <w:rFonts w:ascii="Arial" w:hAnsi="Arial" w:cs="Arial"/>
                <w:sz w:val="20"/>
                <w:szCs w:val="20"/>
              </w:rPr>
            </w:pPr>
          </w:p>
        </w:tc>
        <w:tc>
          <w:tcPr>
            <w:tcW w:w="1128" w:type="dxa"/>
          </w:tcPr>
          <w:p w14:paraId="743A755A" w14:textId="57901A33" w:rsidR="00914D52" w:rsidRPr="008B513E" w:rsidRDefault="00914D52" w:rsidP="004A59CB">
            <w:pPr>
              <w:tabs>
                <w:tab w:val="left" w:pos="1787"/>
              </w:tabs>
              <w:jc w:val="center"/>
              <w:rPr>
                <w:rFonts w:ascii="Arial" w:hAnsi="Arial" w:cs="Arial"/>
                <w:sz w:val="20"/>
                <w:szCs w:val="20"/>
              </w:rPr>
            </w:pPr>
          </w:p>
        </w:tc>
        <w:tc>
          <w:tcPr>
            <w:tcW w:w="955" w:type="dxa"/>
          </w:tcPr>
          <w:p w14:paraId="01B4F2BD" w14:textId="4E4A075E" w:rsidR="00914D52" w:rsidRPr="008B513E"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1183" w:type="dxa"/>
          </w:tcPr>
          <w:p w14:paraId="05346A75" w14:textId="5621B203" w:rsidR="00914D52" w:rsidRDefault="00914D52" w:rsidP="004A59CB">
            <w:pPr>
              <w:tabs>
                <w:tab w:val="left" w:pos="1787"/>
              </w:tabs>
              <w:jc w:val="center"/>
              <w:rPr>
                <w:rFonts w:ascii="Arial" w:hAnsi="Arial" w:cs="Arial"/>
                <w:sz w:val="20"/>
                <w:szCs w:val="20"/>
              </w:rPr>
            </w:pPr>
            <w:r>
              <w:rPr>
                <w:rFonts w:ascii="Arial" w:hAnsi="Arial" w:cs="Arial"/>
                <w:sz w:val="20"/>
                <w:szCs w:val="20"/>
              </w:rPr>
              <w:t>X</w:t>
            </w:r>
          </w:p>
        </w:tc>
        <w:tc>
          <w:tcPr>
            <w:tcW w:w="1542" w:type="dxa"/>
          </w:tcPr>
          <w:p w14:paraId="737CB050" w14:textId="77777777" w:rsidR="00914D52" w:rsidRDefault="00914D52" w:rsidP="004A59CB">
            <w:pPr>
              <w:tabs>
                <w:tab w:val="left" w:pos="1787"/>
              </w:tabs>
              <w:jc w:val="center"/>
              <w:rPr>
                <w:rFonts w:ascii="Arial" w:hAnsi="Arial" w:cs="Arial"/>
                <w:sz w:val="20"/>
                <w:szCs w:val="20"/>
              </w:rPr>
            </w:pPr>
            <w:proofErr w:type="gramStart"/>
            <w:r w:rsidRPr="00914D52">
              <w:rPr>
                <w:rFonts w:ascii="Arial" w:hAnsi="Arial" w:cs="Arial"/>
                <w:sz w:val="20"/>
                <w:szCs w:val="20"/>
                <w:highlight w:val="yellow"/>
              </w:rPr>
              <w:t>Lugano?</w:t>
            </w:r>
            <w:proofErr w:type="gramEnd"/>
          </w:p>
          <w:p w14:paraId="2EF99E3E" w14:textId="326708B2" w:rsidR="00BD6F4C" w:rsidRDefault="00BD6F4C" w:rsidP="004A59CB">
            <w:pPr>
              <w:tabs>
                <w:tab w:val="left" w:pos="1787"/>
              </w:tabs>
              <w:jc w:val="center"/>
              <w:rPr>
                <w:rFonts w:ascii="Arial" w:hAnsi="Arial" w:cs="Arial"/>
                <w:sz w:val="20"/>
                <w:szCs w:val="20"/>
              </w:rPr>
            </w:pPr>
            <w:proofErr w:type="spellStart"/>
            <w:r>
              <w:rPr>
                <w:rFonts w:ascii="Arial" w:hAnsi="Arial" w:cs="Arial"/>
                <w:sz w:val="20"/>
                <w:szCs w:val="20"/>
              </w:rPr>
              <w:t>Deadline</w:t>
            </w:r>
            <w:proofErr w:type="spellEnd"/>
            <w:r>
              <w:rPr>
                <w:rFonts w:ascii="Arial" w:hAnsi="Arial" w:cs="Arial"/>
                <w:sz w:val="20"/>
                <w:szCs w:val="20"/>
              </w:rPr>
              <w:t xml:space="preserve">: </w:t>
            </w:r>
            <w:proofErr w:type="gramStart"/>
            <w:r>
              <w:rPr>
                <w:rFonts w:ascii="Arial" w:hAnsi="Arial" w:cs="Arial"/>
                <w:sz w:val="20"/>
                <w:szCs w:val="20"/>
              </w:rPr>
              <w:t>Marzo</w:t>
            </w:r>
            <w:proofErr w:type="gramEnd"/>
            <w:r>
              <w:rPr>
                <w:rFonts w:ascii="Arial" w:hAnsi="Arial" w:cs="Arial"/>
                <w:sz w:val="20"/>
                <w:szCs w:val="20"/>
              </w:rPr>
              <w:t xml:space="preserve"> 2021</w:t>
            </w:r>
          </w:p>
        </w:tc>
      </w:tr>
    </w:tbl>
    <w:p w14:paraId="4BB74E3F" w14:textId="77777777" w:rsidR="008B513E" w:rsidRPr="008B513E" w:rsidRDefault="008B513E" w:rsidP="004216BD">
      <w:pPr>
        <w:tabs>
          <w:tab w:val="left" w:pos="1787"/>
        </w:tabs>
        <w:rPr>
          <w:rFonts w:ascii="Arial" w:hAnsi="Arial" w:cs="Arial"/>
          <w:sz w:val="20"/>
          <w:szCs w:val="20"/>
        </w:rPr>
      </w:pPr>
    </w:p>
    <w:sectPr w:rsidR="008B513E" w:rsidRPr="008B513E" w:rsidSect="00335B7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62C66" w14:textId="77777777" w:rsidR="007B3792" w:rsidRDefault="007B3792" w:rsidP="00C355BF">
      <w:r>
        <w:separator/>
      </w:r>
    </w:p>
  </w:endnote>
  <w:endnote w:type="continuationSeparator" w:id="0">
    <w:p w14:paraId="7631E372" w14:textId="77777777" w:rsidR="007B3792" w:rsidRDefault="007B3792" w:rsidP="00C3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3C89" w14:textId="77777777" w:rsidR="00D70806" w:rsidRDefault="00D70806" w:rsidP="00504640">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B3291E" w14:textId="77777777" w:rsidR="00D70806" w:rsidRDefault="00D70806" w:rsidP="00D70806">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84F68" w14:textId="77777777" w:rsidR="00D70806" w:rsidRDefault="00D70806" w:rsidP="00504640">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7582">
      <w:rPr>
        <w:rStyle w:val="Nmerodepgina"/>
        <w:noProof/>
      </w:rPr>
      <w:t>14</w:t>
    </w:r>
    <w:r>
      <w:rPr>
        <w:rStyle w:val="Nmerodepgina"/>
      </w:rPr>
      <w:fldChar w:fldCharType="end"/>
    </w:r>
  </w:p>
  <w:p w14:paraId="03AF673F" w14:textId="77777777" w:rsidR="005339BA" w:rsidRDefault="005339BA" w:rsidP="00D70806">
    <w:pPr>
      <w:pStyle w:val="Piedepgina"/>
      <w:tabs>
        <w:tab w:val="clear" w:pos="4252"/>
        <w:tab w:val="clear" w:pos="8504"/>
        <w:tab w:val="left" w:pos="5442"/>
      </w:tabs>
      <w:spacing w:line="0" w:lineRule="atLeast"/>
      <w:ind w:right="360"/>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434E1" w14:textId="77777777" w:rsidR="007B3792" w:rsidRDefault="007B3792" w:rsidP="00C355BF">
      <w:r>
        <w:separator/>
      </w:r>
    </w:p>
  </w:footnote>
  <w:footnote w:type="continuationSeparator" w:id="0">
    <w:p w14:paraId="719351C4" w14:textId="77777777" w:rsidR="007B3792" w:rsidRDefault="007B3792" w:rsidP="00C355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F7EE" w14:textId="77777777" w:rsidR="005339BA" w:rsidRDefault="005339BA">
    <w:pPr>
      <w:pStyle w:val="Encabezado"/>
    </w:pPr>
  </w:p>
  <w:p w14:paraId="127060A5" w14:textId="649DFFC4" w:rsidR="005339BA" w:rsidRDefault="005339BA">
    <w:pPr>
      <w:pStyle w:val="Encabezado"/>
    </w:pPr>
  </w:p>
  <w:p w14:paraId="7C386517" w14:textId="77777777" w:rsidR="005339BA" w:rsidRDefault="005339BA">
    <w:pPr>
      <w:pStyle w:val="Encabezado"/>
    </w:pPr>
  </w:p>
  <w:p w14:paraId="1A8B2AAE" w14:textId="77777777" w:rsidR="005339BA" w:rsidRPr="003A584F" w:rsidRDefault="005339BA" w:rsidP="005339BA">
    <w:pPr>
      <w:pStyle w:val="Encabezado"/>
      <w:tabs>
        <w:tab w:val="clear" w:pos="4252"/>
        <w:tab w:val="clear" w:pos="8504"/>
        <w:tab w:val="left" w:pos="900"/>
      </w:tabs>
      <w:rPr>
        <w:rFonts w:ascii="Monotype Corsiva" w:hAnsi="Monotype Corsiva"/>
        <w:b/>
        <w:sz w:val="18"/>
        <w:szCs w:val="18"/>
      </w:rPr>
    </w:pPr>
    <w:r>
      <w:rPr>
        <w:rFonts w:ascii="Monotype Corsiva" w:hAnsi="Monotype Corsiva"/>
        <w:b/>
        <w:sz w:val="18"/>
        <w:szCs w:val="18"/>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CF8"/>
    <w:multiLevelType w:val="multilevel"/>
    <w:tmpl w:val="02C57CF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532819"/>
    <w:multiLevelType w:val="multilevel"/>
    <w:tmpl w:val="0E532819"/>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473AF8"/>
    <w:multiLevelType w:val="multilevel"/>
    <w:tmpl w:val="D3BC52D4"/>
    <w:lvl w:ilvl="0">
      <w:start w:val="1"/>
      <w:numFmt w:val="decimal"/>
      <w:pStyle w:val="Estilo1"/>
      <w:lvlText w:val="%1."/>
      <w:lvlJc w:val="left"/>
      <w:pPr>
        <w:tabs>
          <w:tab w:val="num" w:pos="360"/>
        </w:tabs>
        <w:ind w:left="360" w:hanging="360"/>
      </w:pPr>
      <w:rPr>
        <w:b/>
      </w:rPr>
    </w:lvl>
    <w:lvl w:ilvl="1">
      <w:start w:val="1"/>
      <w:numFmt w:val="decimal"/>
      <w:pStyle w:val="Estilo2"/>
      <w:lvlText w:val="%1.%2."/>
      <w:lvlJc w:val="left"/>
      <w:pPr>
        <w:tabs>
          <w:tab w:val="num" w:pos="792"/>
        </w:tabs>
        <w:ind w:left="792" w:hanging="432"/>
      </w:pPr>
      <w:rPr>
        <w:b/>
      </w:rPr>
    </w:lvl>
    <w:lvl w:ilvl="2">
      <w:start w:val="1"/>
      <w:numFmt w:val="decimal"/>
      <w:pStyle w:val="Estilo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8800F61"/>
    <w:multiLevelType w:val="multilevel"/>
    <w:tmpl w:val="7834D43A"/>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nsid w:val="22B10D74"/>
    <w:multiLevelType w:val="multilevel"/>
    <w:tmpl w:val="22B10D74"/>
    <w:lvl w:ilvl="0">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270E791E"/>
    <w:multiLevelType w:val="hybridMultilevel"/>
    <w:tmpl w:val="7452FFDA"/>
    <w:lvl w:ilvl="0" w:tplc="9B908E28">
      <w:start w:val="6"/>
      <w:numFmt w:val="bullet"/>
      <w:lvlText w:val="-"/>
      <w:lvlJc w:val="left"/>
      <w:pPr>
        <w:ind w:left="720" w:hanging="360"/>
      </w:pPr>
      <w:rPr>
        <w:rFonts w:ascii="Cambria" w:eastAsiaTheme="minorEastAsia" w:hAnsi="Cambria" w:cstheme="minorBidi" w:hint="default"/>
      </w:rPr>
    </w:lvl>
    <w:lvl w:ilvl="1" w:tplc="0E70230A">
      <w:numFmt w:val="bullet"/>
      <w:lvlText w:val="-"/>
      <w:lvlJc w:val="left"/>
      <w:pPr>
        <w:ind w:left="2345" w:hanging="710"/>
      </w:pPr>
      <w:rPr>
        <w:rFonts w:ascii="Arial" w:eastAsia="MS Mincho" w:hAnsi="Arial" w:cs="Arial" w:hint="default"/>
      </w:rPr>
    </w:lvl>
    <w:lvl w:ilvl="2" w:tplc="280A0005" w:tentative="1">
      <w:start w:val="1"/>
      <w:numFmt w:val="bullet"/>
      <w:lvlText w:val=""/>
      <w:lvlJc w:val="left"/>
      <w:pPr>
        <w:ind w:left="2715" w:hanging="360"/>
      </w:pPr>
      <w:rPr>
        <w:rFonts w:ascii="Wingdings" w:hAnsi="Wingdings" w:hint="default"/>
      </w:rPr>
    </w:lvl>
    <w:lvl w:ilvl="3" w:tplc="280A0001" w:tentative="1">
      <w:start w:val="1"/>
      <w:numFmt w:val="bullet"/>
      <w:lvlText w:val=""/>
      <w:lvlJc w:val="left"/>
      <w:pPr>
        <w:ind w:left="3435" w:hanging="360"/>
      </w:pPr>
      <w:rPr>
        <w:rFonts w:ascii="Symbol" w:hAnsi="Symbol" w:hint="default"/>
      </w:rPr>
    </w:lvl>
    <w:lvl w:ilvl="4" w:tplc="280A0003" w:tentative="1">
      <w:start w:val="1"/>
      <w:numFmt w:val="bullet"/>
      <w:lvlText w:val="o"/>
      <w:lvlJc w:val="left"/>
      <w:pPr>
        <w:ind w:left="4155" w:hanging="360"/>
      </w:pPr>
      <w:rPr>
        <w:rFonts w:ascii="Courier New" w:hAnsi="Courier New" w:cs="Courier New" w:hint="default"/>
      </w:rPr>
    </w:lvl>
    <w:lvl w:ilvl="5" w:tplc="280A0005" w:tentative="1">
      <w:start w:val="1"/>
      <w:numFmt w:val="bullet"/>
      <w:lvlText w:val=""/>
      <w:lvlJc w:val="left"/>
      <w:pPr>
        <w:ind w:left="4875" w:hanging="360"/>
      </w:pPr>
      <w:rPr>
        <w:rFonts w:ascii="Wingdings" w:hAnsi="Wingdings" w:hint="default"/>
      </w:rPr>
    </w:lvl>
    <w:lvl w:ilvl="6" w:tplc="280A0001" w:tentative="1">
      <w:start w:val="1"/>
      <w:numFmt w:val="bullet"/>
      <w:lvlText w:val=""/>
      <w:lvlJc w:val="left"/>
      <w:pPr>
        <w:ind w:left="5595" w:hanging="360"/>
      </w:pPr>
      <w:rPr>
        <w:rFonts w:ascii="Symbol" w:hAnsi="Symbol" w:hint="default"/>
      </w:rPr>
    </w:lvl>
    <w:lvl w:ilvl="7" w:tplc="280A0003" w:tentative="1">
      <w:start w:val="1"/>
      <w:numFmt w:val="bullet"/>
      <w:lvlText w:val="o"/>
      <w:lvlJc w:val="left"/>
      <w:pPr>
        <w:ind w:left="6315" w:hanging="360"/>
      </w:pPr>
      <w:rPr>
        <w:rFonts w:ascii="Courier New" w:hAnsi="Courier New" w:cs="Courier New" w:hint="default"/>
      </w:rPr>
    </w:lvl>
    <w:lvl w:ilvl="8" w:tplc="280A0005" w:tentative="1">
      <w:start w:val="1"/>
      <w:numFmt w:val="bullet"/>
      <w:lvlText w:val=""/>
      <w:lvlJc w:val="left"/>
      <w:pPr>
        <w:ind w:left="7035" w:hanging="360"/>
      </w:pPr>
      <w:rPr>
        <w:rFonts w:ascii="Wingdings" w:hAnsi="Wingdings" w:hint="default"/>
      </w:rPr>
    </w:lvl>
  </w:abstractNum>
  <w:abstractNum w:abstractNumId="6">
    <w:nsid w:val="29026E73"/>
    <w:multiLevelType w:val="hybridMultilevel"/>
    <w:tmpl w:val="ECF4EEDC"/>
    <w:lvl w:ilvl="0" w:tplc="9B908E28">
      <w:start w:val="6"/>
      <w:numFmt w:val="bullet"/>
      <w:lvlText w:val="-"/>
      <w:lvlJc w:val="left"/>
      <w:pPr>
        <w:ind w:left="720" w:hanging="360"/>
      </w:pPr>
      <w:rPr>
        <w:rFonts w:ascii="Cambria" w:eastAsiaTheme="minorEastAsia" w:hAnsi="Cambria" w:cstheme="minorBidi" w:hint="default"/>
      </w:rPr>
    </w:lvl>
    <w:lvl w:ilvl="1" w:tplc="3502DBAC">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
    <w:nsid w:val="36993C27"/>
    <w:multiLevelType w:val="hybridMultilevel"/>
    <w:tmpl w:val="B734FE9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42BE3F38"/>
    <w:multiLevelType w:val="hybridMultilevel"/>
    <w:tmpl w:val="544E855E"/>
    <w:lvl w:ilvl="0" w:tplc="280A0001">
      <w:start w:val="1"/>
      <w:numFmt w:val="bullet"/>
      <w:lvlText w:val=""/>
      <w:lvlJc w:val="left"/>
      <w:pPr>
        <w:ind w:left="1418" w:hanging="710"/>
      </w:pPr>
      <w:rPr>
        <w:rFonts w:ascii="Symbol" w:hAnsi="Symbol" w:hint="default"/>
      </w:rPr>
    </w:lvl>
    <w:lvl w:ilvl="1" w:tplc="0E70230A">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nsid w:val="620F1F54"/>
    <w:multiLevelType w:val="hybridMultilevel"/>
    <w:tmpl w:val="3772796A"/>
    <w:lvl w:ilvl="0" w:tplc="9B908E28">
      <w:start w:val="6"/>
      <w:numFmt w:val="bullet"/>
      <w:lvlText w:val="-"/>
      <w:lvlJc w:val="left"/>
      <w:pPr>
        <w:ind w:left="720" w:hanging="360"/>
      </w:pPr>
      <w:rPr>
        <w:rFonts w:ascii="Cambria" w:eastAsiaTheme="minorEastAsia" w:hAnsi="Cambria" w:cstheme="minorBidi" w:hint="default"/>
      </w:rPr>
    </w:lvl>
    <w:lvl w:ilvl="1" w:tplc="0E70230A">
      <w:numFmt w:val="bullet"/>
      <w:lvlText w:val="-"/>
      <w:lvlJc w:val="left"/>
      <w:pPr>
        <w:ind w:left="2138" w:hanging="710"/>
      </w:pPr>
      <w:rPr>
        <w:rFonts w:ascii="Arial" w:eastAsia="MS Mincho" w:hAnsi="Arial" w:cs="Arial"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0">
    <w:nsid w:val="64F13C69"/>
    <w:multiLevelType w:val="hybridMultilevel"/>
    <w:tmpl w:val="86722202"/>
    <w:lvl w:ilvl="0" w:tplc="9B908E28">
      <w:start w:val="6"/>
      <w:numFmt w:val="bullet"/>
      <w:lvlText w:val="-"/>
      <w:lvlJc w:val="left"/>
      <w:pPr>
        <w:ind w:left="720" w:hanging="360"/>
      </w:pPr>
      <w:rPr>
        <w:rFonts w:ascii="Cambria" w:eastAsiaTheme="minorEastAsia" w:hAnsi="Cambri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7D9F0BAD"/>
    <w:multiLevelType w:val="hybridMultilevel"/>
    <w:tmpl w:val="2AA66F58"/>
    <w:lvl w:ilvl="0" w:tplc="9B908E28">
      <w:start w:val="6"/>
      <w:numFmt w:val="bullet"/>
      <w:lvlText w:val="-"/>
      <w:lvlJc w:val="left"/>
      <w:pPr>
        <w:ind w:left="927" w:hanging="360"/>
      </w:pPr>
      <w:rPr>
        <w:rFonts w:ascii="Cambria" w:eastAsiaTheme="minorEastAsia" w:hAnsi="Cambria" w:cstheme="minorBidi" w:hint="default"/>
      </w:rPr>
    </w:lvl>
    <w:lvl w:ilvl="1" w:tplc="0E70230A">
      <w:numFmt w:val="bullet"/>
      <w:lvlText w:val="-"/>
      <w:lvlJc w:val="left"/>
      <w:pPr>
        <w:ind w:left="2345" w:hanging="710"/>
      </w:pPr>
      <w:rPr>
        <w:rFonts w:ascii="Arial" w:eastAsia="MS Mincho" w:hAnsi="Arial" w:cs="Arial" w:hint="default"/>
      </w:rPr>
    </w:lvl>
    <w:lvl w:ilvl="2" w:tplc="280A0005" w:tentative="1">
      <w:start w:val="1"/>
      <w:numFmt w:val="bullet"/>
      <w:lvlText w:val=""/>
      <w:lvlJc w:val="left"/>
      <w:pPr>
        <w:ind w:left="2715" w:hanging="360"/>
      </w:pPr>
      <w:rPr>
        <w:rFonts w:ascii="Wingdings" w:hAnsi="Wingdings" w:hint="default"/>
      </w:rPr>
    </w:lvl>
    <w:lvl w:ilvl="3" w:tplc="280A0001" w:tentative="1">
      <w:start w:val="1"/>
      <w:numFmt w:val="bullet"/>
      <w:lvlText w:val=""/>
      <w:lvlJc w:val="left"/>
      <w:pPr>
        <w:ind w:left="3435" w:hanging="360"/>
      </w:pPr>
      <w:rPr>
        <w:rFonts w:ascii="Symbol" w:hAnsi="Symbol" w:hint="default"/>
      </w:rPr>
    </w:lvl>
    <w:lvl w:ilvl="4" w:tplc="280A0003" w:tentative="1">
      <w:start w:val="1"/>
      <w:numFmt w:val="bullet"/>
      <w:lvlText w:val="o"/>
      <w:lvlJc w:val="left"/>
      <w:pPr>
        <w:ind w:left="4155" w:hanging="360"/>
      </w:pPr>
      <w:rPr>
        <w:rFonts w:ascii="Courier New" w:hAnsi="Courier New" w:cs="Courier New" w:hint="default"/>
      </w:rPr>
    </w:lvl>
    <w:lvl w:ilvl="5" w:tplc="280A0005" w:tentative="1">
      <w:start w:val="1"/>
      <w:numFmt w:val="bullet"/>
      <w:lvlText w:val=""/>
      <w:lvlJc w:val="left"/>
      <w:pPr>
        <w:ind w:left="4875" w:hanging="360"/>
      </w:pPr>
      <w:rPr>
        <w:rFonts w:ascii="Wingdings" w:hAnsi="Wingdings" w:hint="default"/>
      </w:rPr>
    </w:lvl>
    <w:lvl w:ilvl="6" w:tplc="280A0001" w:tentative="1">
      <w:start w:val="1"/>
      <w:numFmt w:val="bullet"/>
      <w:lvlText w:val=""/>
      <w:lvlJc w:val="left"/>
      <w:pPr>
        <w:ind w:left="5595" w:hanging="360"/>
      </w:pPr>
      <w:rPr>
        <w:rFonts w:ascii="Symbol" w:hAnsi="Symbol" w:hint="default"/>
      </w:rPr>
    </w:lvl>
    <w:lvl w:ilvl="7" w:tplc="280A0003" w:tentative="1">
      <w:start w:val="1"/>
      <w:numFmt w:val="bullet"/>
      <w:lvlText w:val="o"/>
      <w:lvlJc w:val="left"/>
      <w:pPr>
        <w:ind w:left="6315" w:hanging="360"/>
      </w:pPr>
      <w:rPr>
        <w:rFonts w:ascii="Courier New" w:hAnsi="Courier New" w:cs="Courier New" w:hint="default"/>
      </w:rPr>
    </w:lvl>
    <w:lvl w:ilvl="8" w:tplc="280A0005" w:tentative="1">
      <w:start w:val="1"/>
      <w:numFmt w:val="bullet"/>
      <w:lvlText w:val=""/>
      <w:lvlJc w:val="left"/>
      <w:pPr>
        <w:ind w:left="7035" w:hanging="360"/>
      </w:pPr>
      <w:rPr>
        <w:rFonts w:ascii="Wingdings" w:hAnsi="Wingdings" w:hint="default"/>
      </w:rPr>
    </w:lvl>
  </w:abstractNum>
  <w:num w:numId="1">
    <w:abstractNumId w:val="3"/>
  </w:num>
  <w:num w:numId="2">
    <w:abstractNumId w:val="10"/>
  </w:num>
  <w:num w:numId="3">
    <w:abstractNumId w:val="6"/>
  </w:num>
  <w:num w:numId="4">
    <w:abstractNumId w:val="8"/>
  </w:num>
  <w:num w:numId="5">
    <w:abstractNumId w:val="11"/>
  </w:num>
  <w:num w:numId="6">
    <w:abstractNumId w:val="9"/>
  </w:num>
  <w:num w:numId="7">
    <w:abstractNumId w:val="5"/>
  </w:num>
  <w:num w:numId="8">
    <w:abstractNumId w:val="1"/>
  </w:num>
  <w:num w:numId="9">
    <w:abstractNumId w:val="0"/>
  </w:num>
  <w:num w:numId="10">
    <w:abstractNumId w:val="4"/>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AE"/>
    <w:rsid w:val="00011E37"/>
    <w:rsid w:val="00015AA5"/>
    <w:rsid w:val="000B2093"/>
    <w:rsid w:val="000C3111"/>
    <w:rsid w:val="000D2DEB"/>
    <w:rsid w:val="00111EA9"/>
    <w:rsid w:val="001971B4"/>
    <w:rsid w:val="001F02EC"/>
    <w:rsid w:val="00233F1D"/>
    <w:rsid w:val="002810EE"/>
    <w:rsid w:val="002919F0"/>
    <w:rsid w:val="002A1358"/>
    <w:rsid w:val="002B4D7A"/>
    <w:rsid w:val="002B7568"/>
    <w:rsid w:val="002C23AE"/>
    <w:rsid w:val="002C7F2D"/>
    <w:rsid w:val="00335B76"/>
    <w:rsid w:val="00346CCB"/>
    <w:rsid w:val="00386D2C"/>
    <w:rsid w:val="003C326F"/>
    <w:rsid w:val="003C6F05"/>
    <w:rsid w:val="003F05FB"/>
    <w:rsid w:val="003F3BBB"/>
    <w:rsid w:val="003F4FC8"/>
    <w:rsid w:val="004164DA"/>
    <w:rsid w:val="004216BD"/>
    <w:rsid w:val="00447632"/>
    <w:rsid w:val="00474960"/>
    <w:rsid w:val="004843BF"/>
    <w:rsid w:val="004951E1"/>
    <w:rsid w:val="004A59CB"/>
    <w:rsid w:val="004B1318"/>
    <w:rsid w:val="004D450C"/>
    <w:rsid w:val="004D4FD0"/>
    <w:rsid w:val="00500414"/>
    <w:rsid w:val="005031A0"/>
    <w:rsid w:val="00520101"/>
    <w:rsid w:val="005339BA"/>
    <w:rsid w:val="00543EDF"/>
    <w:rsid w:val="00572AC7"/>
    <w:rsid w:val="0058748A"/>
    <w:rsid w:val="005C11AA"/>
    <w:rsid w:val="005D65B7"/>
    <w:rsid w:val="005F4A53"/>
    <w:rsid w:val="006033A8"/>
    <w:rsid w:val="0067459E"/>
    <w:rsid w:val="006961D8"/>
    <w:rsid w:val="00696B1D"/>
    <w:rsid w:val="006E4174"/>
    <w:rsid w:val="00717582"/>
    <w:rsid w:val="0073132C"/>
    <w:rsid w:val="00740674"/>
    <w:rsid w:val="007B3792"/>
    <w:rsid w:val="007C169D"/>
    <w:rsid w:val="007D35C7"/>
    <w:rsid w:val="007E60D0"/>
    <w:rsid w:val="00826B40"/>
    <w:rsid w:val="00862309"/>
    <w:rsid w:val="00863AA6"/>
    <w:rsid w:val="00876211"/>
    <w:rsid w:val="008B513E"/>
    <w:rsid w:val="008E42DE"/>
    <w:rsid w:val="008F4FA6"/>
    <w:rsid w:val="00913B46"/>
    <w:rsid w:val="00914D52"/>
    <w:rsid w:val="00945A44"/>
    <w:rsid w:val="00963E78"/>
    <w:rsid w:val="00964687"/>
    <w:rsid w:val="009648B3"/>
    <w:rsid w:val="009D1906"/>
    <w:rsid w:val="00A25E41"/>
    <w:rsid w:val="00A81C24"/>
    <w:rsid w:val="00AB48E8"/>
    <w:rsid w:val="00AB53AA"/>
    <w:rsid w:val="00AF2657"/>
    <w:rsid w:val="00B20301"/>
    <w:rsid w:val="00B42737"/>
    <w:rsid w:val="00B97A6B"/>
    <w:rsid w:val="00BD6F4C"/>
    <w:rsid w:val="00C023DC"/>
    <w:rsid w:val="00C06595"/>
    <w:rsid w:val="00C17EAB"/>
    <w:rsid w:val="00C355BF"/>
    <w:rsid w:val="00CA5904"/>
    <w:rsid w:val="00CA77C5"/>
    <w:rsid w:val="00CE14F3"/>
    <w:rsid w:val="00CE4465"/>
    <w:rsid w:val="00D03B45"/>
    <w:rsid w:val="00D126E6"/>
    <w:rsid w:val="00D24984"/>
    <w:rsid w:val="00D50373"/>
    <w:rsid w:val="00D63686"/>
    <w:rsid w:val="00D70806"/>
    <w:rsid w:val="00DB0CE4"/>
    <w:rsid w:val="00DC2CA4"/>
    <w:rsid w:val="00DD01E9"/>
    <w:rsid w:val="00DD244F"/>
    <w:rsid w:val="00DE67AC"/>
    <w:rsid w:val="00DF572E"/>
    <w:rsid w:val="00E315A7"/>
    <w:rsid w:val="00E634E3"/>
    <w:rsid w:val="00E71231"/>
    <w:rsid w:val="00EB5EC3"/>
    <w:rsid w:val="00F4610D"/>
    <w:rsid w:val="00F60C8B"/>
    <w:rsid w:val="00F639AF"/>
    <w:rsid w:val="00FB4D6A"/>
    <w:rsid w:val="00FC74DE"/>
    <w:rsid w:val="00FD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FC0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9AF"/>
    <w:rPr>
      <w:rFonts w:ascii="Times New Roman" w:hAnsi="Times New Roman" w:cs="Times New Roman"/>
      <w:lang w:val="es-ES_tradnl" w:eastAsia="es-ES_tradnl"/>
    </w:rPr>
  </w:style>
  <w:style w:type="paragraph" w:styleId="Ttulo1">
    <w:name w:val="heading 1"/>
    <w:basedOn w:val="Normal"/>
    <w:link w:val="Ttulo1Car"/>
    <w:uiPriority w:val="9"/>
    <w:qFormat/>
    <w:rsid w:val="005D65B7"/>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65B7"/>
    <w:rPr>
      <w:rFonts w:ascii="Times New Roman" w:hAnsi="Times New Roman" w:cs="Times New Roman"/>
      <w:b/>
      <w:bCs/>
      <w:kern w:val="36"/>
      <w:sz w:val="48"/>
      <w:szCs w:val="48"/>
      <w:lang w:val="es-ES_tradnl" w:eastAsia="es-ES_tradnl"/>
    </w:rPr>
  </w:style>
  <w:style w:type="paragraph" w:styleId="Prrafodelista">
    <w:name w:val="List Paragraph"/>
    <w:basedOn w:val="Normal"/>
    <w:link w:val="PrrafodelistaCar"/>
    <w:uiPriority w:val="34"/>
    <w:qFormat/>
    <w:rsid w:val="005031A0"/>
    <w:pPr>
      <w:ind w:left="720"/>
      <w:contextualSpacing/>
    </w:pPr>
    <w:rPr>
      <w:rFonts w:asciiTheme="minorHAnsi" w:eastAsiaTheme="minorEastAsia" w:hAnsiTheme="minorHAnsi" w:cstheme="minorBidi"/>
      <w:lang w:eastAsia="es-ES"/>
    </w:rPr>
  </w:style>
  <w:style w:type="character" w:customStyle="1" w:styleId="PrrafodelistaCar">
    <w:name w:val="Párrafo de lista Car"/>
    <w:link w:val="Prrafodelista"/>
    <w:uiPriority w:val="34"/>
    <w:locked/>
    <w:rsid w:val="001971B4"/>
    <w:rPr>
      <w:rFonts w:eastAsiaTheme="minorEastAsia"/>
      <w:lang w:val="es-ES_tradnl" w:eastAsia="es-ES"/>
    </w:rPr>
  </w:style>
  <w:style w:type="paragraph" w:styleId="Encabezado">
    <w:name w:val="header"/>
    <w:basedOn w:val="Normal"/>
    <w:link w:val="EncabezadoCar"/>
    <w:rsid w:val="00C355BF"/>
    <w:pPr>
      <w:tabs>
        <w:tab w:val="center" w:pos="4252"/>
        <w:tab w:val="right" w:pos="8504"/>
      </w:tabs>
      <w:suppressAutoHyphens/>
    </w:pPr>
    <w:rPr>
      <w:rFonts w:ascii="Arial" w:hAnsi="Arial"/>
      <w:i/>
      <w:color w:val="000000"/>
      <w:szCs w:val="20"/>
      <w:lang w:eastAsia="ar-SA"/>
    </w:rPr>
  </w:style>
  <w:style w:type="character" w:customStyle="1" w:styleId="EncabezadoCar">
    <w:name w:val="Encabezado Car"/>
    <w:basedOn w:val="Fuentedeprrafopredeter"/>
    <w:link w:val="Encabezado"/>
    <w:rsid w:val="00C355BF"/>
    <w:rPr>
      <w:rFonts w:ascii="Arial" w:eastAsia="MS Mincho" w:hAnsi="Arial" w:cs="Times New Roman"/>
      <w:i/>
      <w:color w:val="000000"/>
      <w:szCs w:val="20"/>
      <w:lang w:val="es-ES_tradnl" w:eastAsia="ar-SA"/>
    </w:rPr>
  </w:style>
  <w:style w:type="paragraph" w:styleId="Piedepgina">
    <w:name w:val="footer"/>
    <w:basedOn w:val="Normal"/>
    <w:link w:val="PiedepginaCar"/>
    <w:uiPriority w:val="99"/>
    <w:rsid w:val="00C355BF"/>
    <w:pPr>
      <w:tabs>
        <w:tab w:val="center" w:pos="4252"/>
        <w:tab w:val="right" w:pos="8504"/>
      </w:tabs>
      <w:suppressAutoHyphens/>
    </w:pPr>
    <w:rPr>
      <w:rFonts w:ascii="Arial" w:hAnsi="Arial"/>
      <w:i/>
      <w:color w:val="000000"/>
      <w:szCs w:val="20"/>
      <w:lang w:eastAsia="ar-SA"/>
    </w:rPr>
  </w:style>
  <w:style w:type="character" w:customStyle="1" w:styleId="PiedepginaCar">
    <w:name w:val="Pie de página Car"/>
    <w:basedOn w:val="Fuentedeprrafopredeter"/>
    <w:link w:val="Piedepgina"/>
    <w:uiPriority w:val="99"/>
    <w:rsid w:val="00C355BF"/>
    <w:rPr>
      <w:rFonts w:ascii="Arial" w:eastAsia="MS Mincho" w:hAnsi="Arial" w:cs="Times New Roman"/>
      <w:i/>
      <w:color w:val="000000"/>
      <w:szCs w:val="20"/>
      <w:lang w:val="es-ES_tradnl" w:eastAsia="ar-SA"/>
    </w:rPr>
  </w:style>
  <w:style w:type="table" w:styleId="Tablaconlista3">
    <w:name w:val="Table List 3"/>
    <w:basedOn w:val="Tablanormal"/>
    <w:rsid w:val="00C355BF"/>
    <w:rPr>
      <w:rFonts w:ascii="Times New Roman" w:eastAsia="Times New Roman" w:hAnsi="Times New Roman" w:cs="Times New Roman"/>
      <w:sz w:val="20"/>
      <w:szCs w:val="20"/>
      <w:lang w:val="es-ES" w:eastAsia="es-E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Estilo1">
    <w:name w:val="Estilo1"/>
    <w:basedOn w:val="Ttulo1"/>
    <w:qFormat/>
    <w:rsid w:val="00CA5904"/>
    <w:pPr>
      <w:keepNext/>
      <w:numPr>
        <w:numId w:val="11"/>
      </w:numPr>
      <w:tabs>
        <w:tab w:val="clear" w:pos="360"/>
      </w:tabs>
      <w:spacing w:before="0" w:beforeAutospacing="0" w:after="0" w:afterAutospacing="0" w:line="360" w:lineRule="auto"/>
      <w:jc w:val="both"/>
    </w:pPr>
    <w:rPr>
      <w:rFonts w:ascii="Arial" w:eastAsia="Times New Roman" w:hAnsi="Arial" w:cs="Arial"/>
      <w:bCs w:val="0"/>
      <w:color w:val="000000"/>
      <w:kern w:val="0"/>
      <w:sz w:val="24"/>
      <w:szCs w:val="24"/>
      <w:lang w:eastAsia="es-ES"/>
    </w:rPr>
  </w:style>
  <w:style w:type="paragraph" w:customStyle="1" w:styleId="Estilo2">
    <w:name w:val="Estilo2"/>
    <w:basedOn w:val="Ttulo1"/>
    <w:link w:val="Estilo2Car"/>
    <w:qFormat/>
    <w:rsid w:val="00CA5904"/>
    <w:pPr>
      <w:keepNext/>
      <w:numPr>
        <w:ilvl w:val="1"/>
        <w:numId w:val="11"/>
      </w:numPr>
      <w:spacing w:before="0" w:beforeAutospacing="0" w:after="0" w:afterAutospacing="0" w:line="360" w:lineRule="auto"/>
      <w:jc w:val="both"/>
    </w:pPr>
    <w:rPr>
      <w:rFonts w:ascii="Arial" w:eastAsia="Times New Roman" w:hAnsi="Arial" w:cs="Arial"/>
      <w:bCs w:val="0"/>
      <w:color w:val="2E74B5" w:themeColor="accent1" w:themeShade="BF"/>
      <w:lang w:eastAsia="es-ES"/>
    </w:rPr>
  </w:style>
  <w:style w:type="paragraph" w:customStyle="1" w:styleId="Estilo3">
    <w:name w:val="Estilo3"/>
    <w:basedOn w:val="Estilo2"/>
    <w:qFormat/>
    <w:rsid w:val="00CA5904"/>
    <w:pPr>
      <w:numPr>
        <w:ilvl w:val="2"/>
      </w:numPr>
      <w:tabs>
        <w:tab w:val="clear" w:pos="1440"/>
      </w:tabs>
      <w:ind w:left="720" w:hanging="720"/>
    </w:pPr>
  </w:style>
  <w:style w:type="character" w:customStyle="1" w:styleId="Estilo2Car">
    <w:name w:val="Estilo2 Car"/>
    <w:basedOn w:val="Ttulo1Car"/>
    <w:link w:val="Estilo2"/>
    <w:rsid w:val="00CA5904"/>
    <w:rPr>
      <w:rFonts w:ascii="Arial" w:eastAsia="Times New Roman" w:hAnsi="Arial" w:cs="Arial"/>
      <w:b/>
      <w:bCs w:val="0"/>
      <w:color w:val="2E74B5" w:themeColor="accent1" w:themeShade="BF"/>
      <w:kern w:val="36"/>
      <w:sz w:val="48"/>
      <w:szCs w:val="48"/>
      <w:lang w:val="es-ES_tradnl" w:eastAsia="es-ES"/>
    </w:rPr>
  </w:style>
  <w:style w:type="table" w:styleId="Tablaconcuadrcula">
    <w:name w:val="Table Grid"/>
    <w:basedOn w:val="Tablanormal"/>
    <w:uiPriority w:val="39"/>
    <w:rsid w:val="008B5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D7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4482">
      <w:bodyDiv w:val="1"/>
      <w:marLeft w:val="0"/>
      <w:marRight w:val="0"/>
      <w:marTop w:val="0"/>
      <w:marBottom w:val="0"/>
      <w:divBdr>
        <w:top w:val="none" w:sz="0" w:space="0" w:color="auto"/>
        <w:left w:val="none" w:sz="0" w:space="0" w:color="auto"/>
        <w:bottom w:val="none" w:sz="0" w:space="0" w:color="auto"/>
        <w:right w:val="none" w:sz="0" w:space="0" w:color="auto"/>
      </w:divBdr>
    </w:div>
    <w:div w:id="137576464">
      <w:bodyDiv w:val="1"/>
      <w:marLeft w:val="0"/>
      <w:marRight w:val="0"/>
      <w:marTop w:val="0"/>
      <w:marBottom w:val="0"/>
      <w:divBdr>
        <w:top w:val="none" w:sz="0" w:space="0" w:color="auto"/>
        <w:left w:val="none" w:sz="0" w:space="0" w:color="auto"/>
        <w:bottom w:val="none" w:sz="0" w:space="0" w:color="auto"/>
        <w:right w:val="none" w:sz="0" w:space="0" w:color="auto"/>
      </w:divBdr>
    </w:div>
    <w:div w:id="422648271">
      <w:bodyDiv w:val="1"/>
      <w:marLeft w:val="0"/>
      <w:marRight w:val="0"/>
      <w:marTop w:val="0"/>
      <w:marBottom w:val="0"/>
      <w:divBdr>
        <w:top w:val="none" w:sz="0" w:space="0" w:color="auto"/>
        <w:left w:val="none" w:sz="0" w:space="0" w:color="auto"/>
        <w:bottom w:val="none" w:sz="0" w:space="0" w:color="auto"/>
        <w:right w:val="none" w:sz="0" w:space="0" w:color="auto"/>
      </w:divBdr>
    </w:div>
    <w:div w:id="537551638">
      <w:bodyDiv w:val="1"/>
      <w:marLeft w:val="0"/>
      <w:marRight w:val="0"/>
      <w:marTop w:val="0"/>
      <w:marBottom w:val="0"/>
      <w:divBdr>
        <w:top w:val="none" w:sz="0" w:space="0" w:color="auto"/>
        <w:left w:val="none" w:sz="0" w:space="0" w:color="auto"/>
        <w:bottom w:val="none" w:sz="0" w:space="0" w:color="auto"/>
        <w:right w:val="none" w:sz="0" w:space="0" w:color="auto"/>
      </w:divBdr>
    </w:div>
    <w:div w:id="566964609">
      <w:bodyDiv w:val="1"/>
      <w:marLeft w:val="0"/>
      <w:marRight w:val="0"/>
      <w:marTop w:val="0"/>
      <w:marBottom w:val="0"/>
      <w:divBdr>
        <w:top w:val="none" w:sz="0" w:space="0" w:color="auto"/>
        <w:left w:val="none" w:sz="0" w:space="0" w:color="auto"/>
        <w:bottom w:val="none" w:sz="0" w:space="0" w:color="auto"/>
        <w:right w:val="none" w:sz="0" w:space="0" w:color="auto"/>
      </w:divBdr>
    </w:div>
    <w:div w:id="854881300">
      <w:bodyDiv w:val="1"/>
      <w:marLeft w:val="0"/>
      <w:marRight w:val="0"/>
      <w:marTop w:val="0"/>
      <w:marBottom w:val="0"/>
      <w:divBdr>
        <w:top w:val="none" w:sz="0" w:space="0" w:color="auto"/>
        <w:left w:val="none" w:sz="0" w:space="0" w:color="auto"/>
        <w:bottom w:val="none" w:sz="0" w:space="0" w:color="auto"/>
        <w:right w:val="none" w:sz="0" w:space="0" w:color="auto"/>
      </w:divBdr>
    </w:div>
    <w:div w:id="1134643297">
      <w:bodyDiv w:val="1"/>
      <w:marLeft w:val="0"/>
      <w:marRight w:val="0"/>
      <w:marTop w:val="0"/>
      <w:marBottom w:val="0"/>
      <w:divBdr>
        <w:top w:val="none" w:sz="0" w:space="0" w:color="auto"/>
        <w:left w:val="none" w:sz="0" w:space="0" w:color="auto"/>
        <w:bottom w:val="none" w:sz="0" w:space="0" w:color="auto"/>
        <w:right w:val="none" w:sz="0" w:space="0" w:color="auto"/>
      </w:divBdr>
    </w:div>
    <w:div w:id="1444374242">
      <w:bodyDiv w:val="1"/>
      <w:marLeft w:val="0"/>
      <w:marRight w:val="0"/>
      <w:marTop w:val="0"/>
      <w:marBottom w:val="0"/>
      <w:divBdr>
        <w:top w:val="none" w:sz="0" w:space="0" w:color="auto"/>
        <w:left w:val="none" w:sz="0" w:space="0" w:color="auto"/>
        <w:bottom w:val="none" w:sz="0" w:space="0" w:color="auto"/>
        <w:right w:val="none" w:sz="0" w:space="0" w:color="auto"/>
      </w:divBdr>
    </w:div>
    <w:div w:id="1548447222">
      <w:bodyDiv w:val="1"/>
      <w:marLeft w:val="0"/>
      <w:marRight w:val="0"/>
      <w:marTop w:val="0"/>
      <w:marBottom w:val="0"/>
      <w:divBdr>
        <w:top w:val="none" w:sz="0" w:space="0" w:color="auto"/>
        <w:left w:val="none" w:sz="0" w:space="0" w:color="auto"/>
        <w:bottom w:val="none" w:sz="0" w:space="0" w:color="auto"/>
        <w:right w:val="none" w:sz="0" w:space="0" w:color="auto"/>
      </w:divBdr>
    </w:div>
    <w:div w:id="1638682193">
      <w:bodyDiv w:val="1"/>
      <w:marLeft w:val="0"/>
      <w:marRight w:val="0"/>
      <w:marTop w:val="0"/>
      <w:marBottom w:val="0"/>
      <w:divBdr>
        <w:top w:val="none" w:sz="0" w:space="0" w:color="auto"/>
        <w:left w:val="none" w:sz="0" w:space="0" w:color="auto"/>
        <w:bottom w:val="none" w:sz="0" w:space="0" w:color="auto"/>
        <w:right w:val="none" w:sz="0" w:space="0" w:color="auto"/>
      </w:divBdr>
    </w:div>
    <w:div w:id="1836140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6F22ED-953C-5542-B9C3-5E57086B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29378</Words>
  <Characters>161580</Characters>
  <Application>Microsoft Macintosh Word</Application>
  <DocSecurity>0</DocSecurity>
  <Lines>1346</Lines>
  <Paragraphs>381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7</cp:revision>
  <dcterms:created xsi:type="dcterms:W3CDTF">2020-04-26T06:55:00Z</dcterms:created>
  <dcterms:modified xsi:type="dcterms:W3CDTF">2020-04-26T07:16:00Z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a0f45ac0-8893-394e-a658-c8de570e725b</vt:lpwstr>
  </property>
  <property fmtid="{D5CDD505-2E9C-101B-9397-08002B2CF9AE}" pid="24" name="Mendeley Citation Style_1">
    <vt:lpwstr>http://www.zotero.org/styles/vancouver</vt:lpwstr>
  </property>
</Properties>
</file>